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9"/>
        <w:gridCol w:w="4101"/>
      </w:tblGrid>
      <w:tr w:rsidR="008A6DCB" w:rsidRPr="008A6DCB" w14:paraId="5986B276" w14:textId="77777777" w:rsidTr="008E715B">
        <w:trPr>
          <w:trHeight w:val="1800"/>
        </w:trPr>
        <w:tc>
          <w:tcPr>
            <w:tcW w:w="9450" w:type="dxa"/>
            <w:gridSpan w:val="2"/>
            <w:tcBorders>
              <w:top w:val="nil"/>
              <w:left w:val="nil"/>
              <w:bottom w:val="nil"/>
              <w:right w:val="nil"/>
            </w:tcBorders>
            <w:shd w:val="clear" w:color="auto" w:fill="E7E6E6" w:themeFill="background2"/>
            <w:hideMark/>
          </w:tcPr>
          <w:p w14:paraId="772AA51A" w14:textId="169DADF1" w:rsidR="008A6DCB" w:rsidRPr="009B4225" w:rsidRDefault="00F705D7" w:rsidP="00F705D7">
            <w:pPr>
              <w:textAlignment w:val="baseline"/>
              <w:rPr>
                <w:rFonts w:asciiTheme="majorHAnsi" w:hAnsiTheme="majorHAnsi" w:cstheme="majorHAnsi"/>
                <w:sz w:val="18"/>
                <w:szCs w:val="18"/>
              </w:rPr>
            </w:pPr>
            <w:r w:rsidRPr="009B4225">
              <w:rPr>
                <w:rFonts w:asciiTheme="majorHAnsi" w:hAnsiTheme="majorHAnsi" w:cstheme="majorHAnsi"/>
                <w:noProof/>
              </w:rPr>
              <w:drawing>
                <wp:anchor distT="0" distB="0" distL="114300" distR="114300" simplePos="0" relativeHeight="251658240" behindDoc="0" locked="0" layoutInCell="1" allowOverlap="1" wp14:anchorId="54A91F82" wp14:editId="30D8805A">
                  <wp:simplePos x="0" y="0"/>
                  <wp:positionH relativeFrom="margin">
                    <wp:posOffset>66675</wp:posOffset>
                  </wp:positionH>
                  <wp:positionV relativeFrom="margin">
                    <wp:posOffset>0</wp:posOffset>
                  </wp:positionV>
                  <wp:extent cx="54292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mallCaps/>
              </w:rPr>
              <w:t xml:space="preserve">                                       </w:t>
            </w:r>
            <w:r w:rsidR="008A6DCB" w:rsidRPr="009B4225">
              <w:rPr>
                <w:rFonts w:asciiTheme="majorHAnsi" w:hAnsiTheme="majorHAnsi" w:cstheme="majorHAnsi"/>
                <w:smallCaps/>
              </w:rPr>
              <w:t>New York City Council Finance Division</w:t>
            </w:r>
          </w:p>
          <w:p w14:paraId="3A0CBF58" w14:textId="7B65FCBE" w:rsidR="008A6DCB" w:rsidRPr="009B4225" w:rsidRDefault="00F705D7" w:rsidP="00F705D7">
            <w:pPr>
              <w:textAlignment w:val="baseline"/>
              <w:rPr>
                <w:rFonts w:asciiTheme="majorHAnsi" w:hAnsiTheme="majorHAnsi" w:cstheme="majorHAnsi"/>
                <w:sz w:val="18"/>
                <w:szCs w:val="18"/>
              </w:rPr>
            </w:pPr>
            <w:r>
              <w:rPr>
                <w:rFonts w:asciiTheme="majorHAnsi" w:hAnsiTheme="majorHAnsi" w:cstheme="majorHAnsi"/>
              </w:rPr>
              <w:t xml:space="preserve">                                    </w:t>
            </w:r>
            <w:r w:rsidR="008A6DCB" w:rsidRPr="009B4225">
              <w:rPr>
                <w:rFonts w:asciiTheme="majorHAnsi" w:hAnsiTheme="majorHAnsi" w:cstheme="majorHAnsi"/>
              </w:rPr>
              <w:t>Latonia R. McKinney, Director </w:t>
            </w:r>
          </w:p>
          <w:p w14:paraId="16157833" w14:textId="77777777" w:rsidR="008A6DCB" w:rsidRPr="009B4225" w:rsidRDefault="008A6DCB" w:rsidP="008A6DCB">
            <w:pPr>
              <w:jc w:val="center"/>
              <w:textAlignment w:val="baseline"/>
              <w:rPr>
                <w:rFonts w:asciiTheme="majorHAnsi" w:hAnsiTheme="majorHAnsi" w:cstheme="majorHAnsi"/>
                <w:sz w:val="18"/>
                <w:szCs w:val="18"/>
              </w:rPr>
            </w:pPr>
            <w:r w:rsidRPr="009B4225">
              <w:rPr>
                <w:rFonts w:asciiTheme="majorHAnsi" w:hAnsiTheme="majorHAnsi" w:cstheme="majorHAnsi"/>
              </w:rPr>
              <w:t> </w:t>
            </w:r>
          </w:p>
          <w:p w14:paraId="50B0FF36" w14:textId="202B2043" w:rsidR="008A6DCB" w:rsidRPr="009B4225" w:rsidRDefault="008A6DCB" w:rsidP="00F705D7">
            <w:pPr>
              <w:jc w:val="center"/>
              <w:textAlignment w:val="baseline"/>
              <w:rPr>
                <w:rFonts w:asciiTheme="majorHAnsi" w:hAnsiTheme="majorHAnsi" w:cstheme="majorHAnsi"/>
                <w:sz w:val="18"/>
                <w:szCs w:val="18"/>
              </w:rPr>
            </w:pPr>
            <w:r w:rsidRPr="009B4225">
              <w:rPr>
                <w:rFonts w:asciiTheme="majorHAnsi" w:hAnsiTheme="majorHAnsi" w:cstheme="majorHAnsi"/>
                <w:b/>
                <w:bCs/>
                <w:smallCaps/>
                <w:sz w:val="28"/>
                <w:szCs w:val="28"/>
              </w:rPr>
              <w:t>Note on the Fiscal 2022 Executive Budget for the</w:t>
            </w:r>
          </w:p>
          <w:p w14:paraId="0479D234" w14:textId="5AD59BF4" w:rsidR="008A6DCB" w:rsidRPr="009B4225" w:rsidRDefault="008A6DCB" w:rsidP="00F705D7">
            <w:pPr>
              <w:jc w:val="center"/>
              <w:textAlignment w:val="baseline"/>
              <w:rPr>
                <w:rFonts w:asciiTheme="majorHAnsi" w:hAnsiTheme="majorHAnsi" w:cstheme="majorHAnsi"/>
                <w:sz w:val="18"/>
                <w:szCs w:val="18"/>
              </w:rPr>
            </w:pPr>
            <w:r w:rsidRPr="009B4225">
              <w:rPr>
                <w:rFonts w:asciiTheme="majorHAnsi" w:hAnsiTheme="majorHAnsi" w:cstheme="majorHAnsi"/>
                <w:b/>
                <w:bCs/>
                <w:smallCaps/>
                <w:sz w:val="28"/>
                <w:szCs w:val="28"/>
              </w:rPr>
              <w:t>Department of Citywide Administrative Services,</w:t>
            </w:r>
          </w:p>
          <w:p w14:paraId="3E5B83A5" w14:textId="4FCCD61A" w:rsidR="008A6DCB" w:rsidRPr="009B4225" w:rsidRDefault="008A6DCB" w:rsidP="00F705D7">
            <w:pPr>
              <w:jc w:val="center"/>
              <w:textAlignment w:val="baseline"/>
              <w:rPr>
                <w:rFonts w:asciiTheme="majorHAnsi" w:hAnsiTheme="majorHAnsi" w:cstheme="majorHAnsi"/>
                <w:sz w:val="18"/>
                <w:szCs w:val="18"/>
              </w:rPr>
            </w:pPr>
            <w:r w:rsidRPr="009B4225">
              <w:rPr>
                <w:rFonts w:asciiTheme="majorHAnsi" w:hAnsiTheme="majorHAnsi" w:cstheme="majorHAnsi"/>
                <w:b/>
                <w:bCs/>
                <w:smallCaps/>
                <w:sz w:val="28"/>
                <w:szCs w:val="28"/>
              </w:rPr>
              <w:t>the Law Department,</w:t>
            </w:r>
          </w:p>
          <w:p w14:paraId="54910077" w14:textId="003E83F5" w:rsidR="008A6DCB" w:rsidRPr="009B4225" w:rsidRDefault="008A6DCB" w:rsidP="00F705D7">
            <w:pPr>
              <w:jc w:val="center"/>
              <w:textAlignment w:val="baseline"/>
              <w:rPr>
                <w:rFonts w:asciiTheme="majorHAnsi" w:hAnsiTheme="majorHAnsi" w:cstheme="majorHAnsi"/>
                <w:sz w:val="18"/>
                <w:szCs w:val="18"/>
              </w:rPr>
            </w:pPr>
            <w:r w:rsidRPr="009B4225">
              <w:rPr>
                <w:rFonts w:asciiTheme="majorHAnsi" w:hAnsiTheme="majorHAnsi" w:cstheme="majorHAnsi"/>
                <w:b/>
                <w:bCs/>
                <w:smallCaps/>
                <w:sz w:val="28"/>
                <w:szCs w:val="28"/>
              </w:rPr>
              <w:t>the Financial Information Services Agency,</w:t>
            </w:r>
          </w:p>
          <w:p w14:paraId="25D4D6DC" w14:textId="7958FFAE" w:rsidR="008A6DCB" w:rsidRPr="009B4225" w:rsidRDefault="008A6DCB" w:rsidP="00F705D7">
            <w:pPr>
              <w:jc w:val="center"/>
              <w:textAlignment w:val="baseline"/>
              <w:rPr>
                <w:rFonts w:asciiTheme="majorHAnsi" w:hAnsiTheme="majorHAnsi" w:cstheme="majorHAnsi"/>
                <w:sz w:val="18"/>
                <w:szCs w:val="18"/>
              </w:rPr>
            </w:pPr>
            <w:r w:rsidRPr="009B4225">
              <w:rPr>
                <w:rFonts w:asciiTheme="majorHAnsi" w:hAnsiTheme="majorHAnsi" w:cstheme="majorHAnsi"/>
                <w:b/>
                <w:bCs/>
                <w:smallCaps/>
                <w:sz w:val="28"/>
                <w:szCs w:val="28"/>
              </w:rPr>
              <w:t>the Office of Administrative Trials and Hearings,</w:t>
            </w:r>
          </w:p>
          <w:p w14:paraId="2255A3FC" w14:textId="6655A075" w:rsidR="008A6DCB" w:rsidRPr="009B4225" w:rsidRDefault="008A6DCB" w:rsidP="00F705D7">
            <w:pPr>
              <w:jc w:val="center"/>
              <w:textAlignment w:val="baseline"/>
              <w:rPr>
                <w:rFonts w:asciiTheme="majorHAnsi" w:hAnsiTheme="majorHAnsi" w:cstheme="majorHAnsi"/>
                <w:sz w:val="18"/>
                <w:szCs w:val="18"/>
              </w:rPr>
            </w:pPr>
            <w:r w:rsidRPr="009B4225">
              <w:rPr>
                <w:rFonts w:asciiTheme="majorHAnsi" w:hAnsiTheme="majorHAnsi" w:cstheme="majorHAnsi"/>
                <w:b/>
                <w:bCs/>
                <w:smallCaps/>
                <w:sz w:val="28"/>
                <w:szCs w:val="28"/>
              </w:rPr>
              <w:t>the Department of Records and Information Services,</w:t>
            </w:r>
          </w:p>
          <w:p w14:paraId="44E65826" w14:textId="7DF9A674" w:rsidR="008A6DCB" w:rsidRPr="009B4225" w:rsidRDefault="008A6DCB" w:rsidP="00F705D7">
            <w:pPr>
              <w:jc w:val="center"/>
              <w:textAlignment w:val="baseline"/>
              <w:rPr>
                <w:rFonts w:asciiTheme="majorHAnsi" w:hAnsiTheme="majorHAnsi" w:cstheme="majorHAnsi"/>
                <w:sz w:val="18"/>
                <w:szCs w:val="18"/>
              </w:rPr>
            </w:pPr>
            <w:r w:rsidRPr="009B4225">
              <w:rPr>
                <w:rFonts w:asciiTheme="majorHAnsi" w:hAnsiTheme="majorHAnsi" w:cstheme="majorHAnsi"/>
                <w:b/>
                <w:bCs/>
                <w:smallCaps/>
                <w:sz w:val="28"/>
                <w:szCs w:val="28"/>
              </w:rPr>
              <w:t>the Office of Administrative Tax Appeals, and</w:t>
            </w:r>
          </w:p>
          <w:p w14:paraId="313BADC8" w14:textId="3E083F53" w:rsidR="008A6DCB" w:rsidRPr="009B4225" w:rsidRDefault="008A6DCB" w:rsidP="00F705D7">
            <w:pPr>
              <w:jc w:val="center"/>
              <w:textAlignment w:val="baseline"/>
              <w:rPr>
                <w:rFonts w:asciiTheme="majorHAnsi" w:hAnsiTheme="majorHAnsi" w:cstheme="majorHAnsi"/>
                <w:sz w:val="18"/>
                <w:szCs w:val="18"/>
              </w:rPr>
            </w:pPr>
            <w:r w:rsidRPr="009B4225">
              <w:rPr>
                <w:rFonts w:asciiTheme="majorHAnsi" w:hAnsiTheme="majorHAnsi" w:cstheme="majorHAnsi"/>
                <w:b/>
                <w:bCs/>
                <w:smallCaps/>
                <w:sz w:val="28"/>
                <w:szCs w:val="28"/>
              </w:rPr>
              <w:t>the Office of Payroll Administration</w:t>
            </w:r>
          </w:p>
        </w:tc>
      </w:tr>
      <w:tr w:rsidR="008A6DCB" w:rsidRPr="008A6DCB" w14:paraId="58D5C603" w14:textId="77777777" w:rsidTr="008E715B">
        <w:trPr>
          <w:trHeight w:val="720"/>
        </w:trPr>
        <w:tc>
          <w:tcPr>
            <w:tcW w:w="5349" w:type="dxa"/>
            <w:tcBorders>
              <w:top w:val="nil"/>
              <w:left w:val="nil"/>
              <w:bottom w:val="single" w:sz="8" w:space="0" w:color="auto"/>
              <w:right w:val="nil"/>
            </w:tcBorders>
            <w:shd w:val="clear" w:color="auto" w:fill="auto"/>
            <w:vAlign w:val="center"/>
            <w:hideMark/>
          </w:tcPr>
          <w:p w14:paraId="1F794CC9" w14:textId="77777777" w:rsidR="008A6DCB" w:rsidRPr="009B4225" w:rsidRDefault="008A6DCB" w:rsidP="008A6DCB">
            <w:pPr>
              <w:textAlignment w:val="baseline"/>
              <w:rPr>
                <w:rFonts w:asciiTheme="majorHAnsi" w:hAnsiTheme="majorHAnsi" w:cstheme="majorHAnsi"/>
                <w:sz w:val="18"/>
                <w:szCs w:val="18"/>
              </w:rPr>
            </w:pPr>
            <w:r w:rsidRPr="009B4225">
              <w:rPr>
                <w:rFonts w:asciiTheme="majorHAnsi" w:hAnsiTheme="majorHAnsi" w:cstheme="majorHAnsi"/>
                <w:sz w:val="20"/>
                <w:szCs w:val="20"/>
              </w:rPr>
              <w:t>Regina Poreda Ryan, Deputy Director </w:t>
            </w:r>
          </w:p>
          <w:p w14:paraId="0B836E6D" w14:textId="77777777" w:rsidR="008A6DCB" w:rsidRPr="009B4225" w:rsidRDefault="008A6DCB" w:rsidP="008A6DCB">
            <w:pPr>
              <w:textAlignment w:val="baseline"/>
              <w:rPr>
                <w:rFonts w:asciiTheme="majorHAnsi" w:hAnsiTheme="majorHAnsi" w:cstheme="majorHAnsi"/>
                <w:sz w:val="18"/>
                <w:szCs w:val="18"/>
              </w:rPr>
            </w:pPr>
            <w:r w:rsidRPr="009B4225">
              <w:rPr>
                <w:rFonts w:asciiTheme="majorHAnsi" w:hAnsiTheme="majorHAnsi" w:cstheme="majorHAnsi"/>
                <w:sz w:val="20"/>
                <w:szCs w:val="20"/>
              </w:rPr>
              <w:t>Nathan Toth, Deputy Director </w:t>
            </w:r>
          </w:p>
          <w:p w14:paraId="4C2FEFF0" w14:textId="77777777" w:rsidR="008A6DCB" w:rsidRPr="009B4225" w:rsidRDefault="008A6DCB" w:rsidP="008A6DCB">
            <w:pPr>
              <w:textAlignment w:val="baseline"/>
              <w:rPr>
                <w:rFonts w:asciiTheme="majorHAnsi" w:hAnsiTheme="majorHAnsi" w:cstheme="majorHAnsi"/>
                <w:sz w:val="18"/>
                <w:szCs w:val="18"/>
              </w:rPr>
            </w:pPr>
            <w:r w:rsidRPr="009B4225">
              <w:rPr>
                <w:rFonts w:asciiTheme="majorHAnsi" w:hAnsiTheme="majorHAnsi" w:cstheme="majorHAnsi"/>
                <w:sz w:val="20"/>
                <w:szCs w:val="20"/>
              </w:rPr>
              <w:t>Paul Scimone, Deputy Director </w:t>
            </w:r>
          </w:p>
        </w:tc>
        <w:tc>
          <w:tcPr>
            <w:tcW w:w="4101" w:type="dxa"/>
            <w:tcBorders>
              <w:top w:val="nil"/>
              <w:left w:val="nil"/>
              <w:bottom w:val="single" w:sz="8" w:space="0" w:color="auto"/>
              <w:right w:val="nil"/>
            </w:tcBorders>
            <w:shd w:val="clear" w:color="auto" w:fill="auto"/>
            <w:vAlign w:val="center"/>
            <w:hideMark/>
          </w:tcPr>
          <w:p w14:paraId="6614A7B2" w14:textId="238E880F" w:rsidR="008A6DCB" w:rsidRPr="009B4225" w:rsidRDefault="008A6DCB" w:rsidP="008A6DCB">
            <w:pPr>
              <w:jc w:val="right"/>
              <w:textAlignment w:val="baseline"/>
              <w:rPr>
                <w:rFonts w:asciiTheme="majorHAnsi" w:hAnsiTheme="majorHAnsi" w:cstheme="majorHAnsi"/>
                <w:sz w:val="18"/>
                <w:szCs w:val="18"/>
              </w:rPr>
            </w:pPr>
            <w:r w:rsidRPr="009B4225">
              <w:rPr>
                <w:rFonts w:asciiTheme="majorHAnsi" w:hAnsiTheme="majorHAnsi" w:cstheme="majorHAnsi"/>
                <w:sz w:val="20"/>
                <w:szCs w:val="20"/>
              </w:rPr>
              <w:t>John Russell, Unit Head  </w:t>
            </w:r>
          </w:p>
          <w:p w14:paraId="41724BE1" w14:textId="1BADD568" w:rsidR="008A6DCB" w:rsidRPr="009B4225" w:rsidRDefault="008A6DCB" w:rsidP="008A6DCB">
            <w:pPr>
              <w:ind w:left="-210"/>
              <w:jc w:val="right"/>
              <w:textAlignment w:val="baseline"/>
              <w:rPr>
                <w:rFonts w:asciiTheme="majorHAnsi" w:hAnsiTheme="majorHAnsi" w:cstheme="majorHAnsi"/>
                <w:sz w:val="18"/>
                <w:szCs w:val="18"/>
              </w:rPr>
            </w:pPr>
            <w:r w:rsidRPr="009B4225">
              <w:rPr>
                <w:rFonts w:asciiTheme="majorHAnsi" w:hAnsiTheme="majorHAnsi" w:cstheme="majorHAnsi"/>
                <w:sz w:val="20"/>
                <w:szCs w:val="20"/>
              </w:rPr>
              <w:t xml:space="preserve">Sebastian </w:t>
            </w:r>
            <w:r w:rsidR="0007467A" w:rsidRPr="009B4225">
              <w:rPr>
                <w:rFonts w:asciiTheme="majorHAnsi" w:hAnsiTheme="majorHAnsi" w:cstheme="majorHAnsi"/>
                <w:sz w:val="20"/>
                <w:szCs w:val="20"/>
              </w:rPr>
              <w:t xml:space="preserve">Palacio </w:t>
            </w:r>
            <w:r w:rsidRPr="009B4225">
              <w:rPr>
                <w:rFonts w:asciiTheme="majorHAnsi" w:hAnsiTheme="majorHAnsi" w:cstheme="majorHAnsi"/>
                <w:sz w:val="20"/>
                <w:szCs w:val="20"/>
              </w:rPr>
              <w:t>Bacchi, Senior Financial Analyst </w:t>
            </w:r>
          </w:p>
        </w:tc>
      </w:tr>
    </w:tbl>
    <w:p w14:paraId="27B4BD4F" w14:textId="7441799B" w:rsidR="00D87E64" w:rsidRPr="006E0231" w:rsidRDefault="00D87E64" w:rsidP="008E715B">
      <w:pPr>
        <w:spacing w:before="120"/>
        <w:jc w:val="both"/>
        <w:rPr>
          <w:rFonts w:asciiTheme="minorHAnsi" w:hAnsiTheme="minorHAnsi" w:cstheme="minorBidi"/>
          <w:b/>
          <w:bCs/>
          <w:color w:val="4472C4" w:themeColor="accent1"/>
          <w:sz w:val="28"/>
          <w:szCs w:val="28"/>
        </w:rPr>
      </w:pPr>
      <w:r w:rsidRPr="006E0231">
        <w:rPr>
          <w:rFonts w:asciiTheme="minorHAnsi" w:hAnsiTheme="minorHAnsi" w:cstheme="minorBidi"/>
          <w:b/>
          <w:bCs/>
          <w:color w:val="4472C4" w:themeColor="accent1"/>
          <w:sz w:val="28"/>
          <w:szCs w:val="28"/>
        </w:rPr>
        <w:t>Fiscal 2022 Executive Budget</w:t>
      </w:r>
    </w:p>
    <w:p w14:paraId="5BCF4635" w14:textId="6E33CFF0" w:rsidR="00D87E64" w:rsidRPr="006E0231" w:rsidRDefault="004035CB" w:rsidP="16194CFB">
      <w:pPr>
        <w:jc w:val="both"/>
        <w:rPr>
          <w:rFonts w:asciiTheme="minorHAnsi" w:hAnsiTheme="minorHAnsi" w:cstheme="minorBidi"/>
          <w:color w:val="000000"/>
          <w:shd w:val="clear" w:color="auto" w:fill="FFFFFF"/>
        </w:rPr>
      </w:pPr>
      <w:r w:rsidRPr="16194CFB">
        <w:rPr>
          <w:rFonts w:asciiTheme="minorHAnsi" w:hAnsiTheme="minorHAnsi" w:cstheme="minorBidi"/>
          <w:color w:val="000000"/>
          <w:shd w:val="clear" w:color="auto" w:fill="FFFFFF"/>
        </w:rPr>
        <w:t>T</w:t>
      </w:r>
      <w:r w:rsidR="00D87E64" w:rsidRPr="16194CFB">
        <w:rPr>
          <w:rFonts w:asciiTheme="minorHAnsi" w:hAnsiTheme="minorHAnsi" w:cstheme="minorBidi"/>
          <w:color w:val="000000"/>
          <w:shd w:val="clear" w:color="auto" w:fill="FFFFFF"/>
        </w:rPr>
        <w:t>he Fiscal 2022 Executive Budget</w:t>
      </w:r>
      <w:r w:rsidR="00D87E64" w:rsidRPr="16194CFB" w:rsidDel="00DC051B">
        <w:rPr>
          <w:rFonts w:asciiTheme="minorHAnsi" w:hAnsiTheme="minorHAnsi" w:cstheme="minorBidi"/>
          <w:color w:val="000000" w:themeColor="text1"/>
        </w:rPr>
        <w:t xml:space="preserve"> </w:t>
      </w:r>
      <w:r w:rsidR="00D87E64" w:rsidRPr="16194CFB">
        <w:rPr>
          <w:rFonts w:asciiTheme="minorHAnsi" w:hAnsiTheme="minorHAnsi" w:cstheme="minorBidi"/>
          <w:color w:val="000000" w:themeColor="text1"/>
        </w:rPr>
        <w:t>projects spending of</w:t>
      </w:r>
      <w:r w:rsidR="00D87E64" w:rsidRPr="16194CFB" w:rsidDel="00DC051B">
        <w:rPr>
          <w:rFonts w:asciiTheme="minorHAnsi" w:hAnsiTheme="minorHAnsi" w:cstheme="minorBidi"/>
          <w:color w:val="000000" w:themeColor="text1"/>
        </w:rPr>
        <w:t xml:space="preserve"> $9</w:t>
      </w:r>
      <w:r w:rsidR="00D87E64" w:rsidRPr="16194CFB">
        <w:rPr>
          <w:rFonts w:asciiTheme="minorHAnsi" w:hAnsiTheme="minorHAnsi" w:cstheme="minorBidi"/>
          <w:color w:val="000000" w:themeColor="text1"/>
        </w:rPr>
        <w:t>8.6</w:t>
      </w:r>
      <w:r w:rsidR="00D87E64" w:rsidRPr="16194CFB" w:rsidDel="00DC051B">
        <w:rPr>
          <w:rFonts w:asciiTheme="minorHAnsi" w:hAnsiTheme="minorHAnsi" w:cstheme="minorBidi"/>
          <w:color w:val="000000" w:themeColor="text1"/>
        </w:rPr>
        <w:t xml:space="preserve"> billion</w:t>
      </w:r>
      <w:r w:rsidR="00D87E64" w:rsidRPr="16194CFB">
        <w:rPr>
          <w:rFonts w:asciiTheme="minorHAnsi" w:hAnsiTheme="minorHAnsi" w:cstheme="minorBidi"/>
          <w:color w:val="000000" w:themeColor="text1"/>
        </w:rPr>
        <w:t xml:space="preserve"> in Fiscal 20</w:t>
      </w:r>
      <w:r w:rsidR="00D87E64" w:rsidRPr="16194CFB">
        <w:rPr>
          <w:rFonts w:asciiTheme="minorHAnsi" w:hAnsiTheme="minorHAnsi" w:cstheme="minorBidi"/>
          <w:color w:val="000000"/>
          <w:shd w:val="clear" w:color="auto" w:fill="FFFFFF"/>
        </w:rPr>
        <w:t xml:space="preserve">22. </w:t>
      </w:r>
      <w:proofErr w:type="gramStart"/>
      <w:r w:rsidR="00D87E64" w:rsidRPr="16194CFB">
        <w:rPr>
          <w:rFonts w:asciiTheme="minorHAnsi" w:hAnsiTheme="minorHAnsi" w:cstheme="minorBidi"/>
          <w:color w:val="000000"/>
          <w:shd w:val="clear" w:color="auto" w:fill="FFFFFF"/>
        </w:rPr>
        <w:t>This memo provides a summary of the changes introduced in the Executive Budget for agencies that fall under the Committee on Governmental Operations, including the Department of Citywide Administrative Services (DCAS), the Law Department, the Department of Records and Information Services (DORIS), the Financial Information Services Agency (FISA), the Office of Administrative Trials and Hearings (OATH), the Office of Administrative Tax</w:t>
      </w:r>
      <w:r w:rsidR="00D87E64" w:rsidRPr="16194CFB">
        <w:rPr>
          <w:rFonts w:asciiTheme="minorHAnsi" w:hAnsiTheme="minorHAnsi" w:cstheme="minorBidi"/>
          <w:color w:val="000000" w:themeColor="text1"/>
        </w:rPr>
        <w:t xml:space="preserve"> </w:t>
      </w:r>
      <w:r w:rsidR="00D87E64" w:rsidRPr="16194CFB">
        <w:rPr>
          <w:rFonts w:asciiTheme="minorHAnsi" w:hAnsiTheme="minorHAnsi" w:cstheme="minorBidi"/>
          <w:color w:val="000000"/>
          <w:shd w:val="clear" w:color="auto" w:fill="FFFFFF"/>
        </w:rPr>
        <w:t>Appeals (OATA), and the Office of Payroll Administration (OPA).</w:t>
      </w:r>
      <w:proofErr w:type="gramEnd"/>
      <w:r w:rsidR="00D87E64" w:rsidRPr="16194CFB">
        <w:rPr>
          <w:rFonts w:asciiTheme="minorHAnsi" w:hAnsiTheme="minorHAnsi" w:cstheme="minorBidi"/>
          <w:color w:val="000000"/>
          <w:shd w:val="clear" w:color="auto" w:fill="FFFFFF"/>
        </w:rPr>
        <w:t xml:space="preserve"> Information regarding the Executive </w:t>
      </w:r>
      <w:r w:rsidR="00622605" w:rsidRPr="16194CFB">
        <w:rPr>
          <w:rFonts w:asciiTheme="minorHAnsi" w:hAnsiTheme="minorHAnsi" w:cstheme="minorBidi"/>
          <w:color w:val="000000"/>
          <w:shd w:val="clear" w:color="auto" w:fill="FFFFFF"/>
        </w:rPr>
        <w:t>B</w:t>
      </w:r>
      <w:r w:rsidR="00D87E64" w:rsidRPr="16194CFB">
        <w:rPr>
          <w:rFonts w:asciiTheme="minorHAnsi" w:hAnsiTheme="minorHAnsi" w:cstheme="minorBidi"/>
          <w:color w:val="000000"/>
          <w:shd w:val="clear" w:color="auto" w:fill="FFFFFF"/>
        </w:rPr>
        <w:t xml:space="preserve">udgets of the NYC Board of Elections (BOE) and the Campaign Finance Board (CFB) are </w:t>
      </w:r>
      <w:r w:rsidR="12E5F259" w:rsidRPr="16194CFB">
        <w:rPr>
          <w:rFonts w:asciiTheme="minorHAnsi" w:hAnsiTheme="minorHAnsi" w:cstheme="minorBidi"/>
          <w:color w:val="000000"/>
          <w:shd w:val="clear" w:color="auto" w:fill="FFFFFF"/>
        </w:rPr>
        <w:t>separate and</w:t>
      </w:r>
      <w:r w:rsidR="00D87E64" w:rsidRPr="16194CFB">
        <w:rPr>
          <w:rFonts w:asciiTheme="minorHAnsi" w:hAnsiTheme="minorHAnsi" w:cstheme="minorBidi"/>
          <w:color w:val="000000"/>
          <w:shd w:val="clear" w:color="auto" w:fill="FFFFFF"/>
        </w:rPr>
        <w:t xml:space="preserve"> </w:t>
      </w:r>
      <w:proofErr w:type="gramStart"/>
      <w:r w:rsidR="00D87E64" w:rsidRPr="16194CFB">
        <w:rPr>
          <w:rFonts w:asciiTheme="minorHAnsi" w:hAnsiTheme="minorHAnsi" w:cstheme="minorBidi"/>
          <w:color w:val="000000"/>
          <w:shd w:val="clear" w:color="auto" w:fill="FFFFFF"/>
        </w:rPr>
        <w:t>can be found</w:t>
      </w:r>
      <w:proofErr w:type="gramEnd"/>
      <w:r w:rsidR="00D87E64" w:rsidRPr="16194CFB">
        <w:rPr>
          <w:rFonts w:asciiTheme="minorHAnsi" w:hAnsiTheme="minorHAnsi" w:cstheme="minorBidi"/>
          <w:color w:val="000000"/>
          <w:shd w:val="clear" w:color="auto" w:fill="FFFFFF"/>
        </w:rPr>
        <w:t xml:space="preserve"> on the Council’s website. </w:t>
      </w:r>
    </w:p>
    <w:p w14:paraId="1C03636C" w14:textId="4909DD4E" w:rsidR="00D87E64" w:rsidRPr="006E0231" w:rsidRDefault="00D87E64" w:rsidP="006E0231">
      <w:pPr>
        <w:jc w:val="both"/>
        <w:rPr>
          <w:rFonts w:asciiTheme="minorHAnsi" w:hAnsiTheme="minorHAnsi" w:cstheme="minorBidi"/>
          <w:color w:val="000000"/>
          <w:shd w:val="clear" w:color="auto" w:fill="FFFFFF"/>
        </w:rPr>
      </w:pPr>
    </w:p>
    <w:p w14:paraId="17DFA800" w14:textId="77777777" w:rsidR="00D87E64" w:rsidRPr="006E0231" w:rsidRDefault="00D87E64" w:rsidP="006E0231">
      <w:pPr>
        <w:jc w:val="both"/>
        <w:rPr>
          <w:rFonts w:asciiTheme="minorHAnsi" w:hAnsiTheme="minorHAnsi" w:cstheme="minorBidi"/>
          <w:b/>
          <w:bCs/>
          <w:color w:val="4472C4" w:themeColor="accent1"/>
          <w:sz w:val="28"/>
          <w:szCs w:val="28"/>
          <w:shd w:val="clear" w:color="auto" w:fill="FFFFFF"/>
        </w:rPr>
      </w:pPr>
      <w:r w:rsidRPr="006E0231">
        <w:rPr>
          <w:rFonts w:asciiTheme="minorHAnsi" w:hAnsiTheme="minorHAnsi" w:cstheme="minorBidi"/>
          <w:b/>
          <w:bCs/>
          <w:color w:val="4472C4" w:themeColor="accent1"/>
          <w:sz w:val="28"/>
          <w:szCs w:val="28"/>
          <w:shd w:val="clear" w:color="auto" w:fill="FFFFFF"/>
        </w:rPr>
        <w:t>Department of Citywide Administrative Services (DCAS)</w:t>
      </w:r>
    </w:p>
    <w:p w14:paraId="2B6AFCB8" w14:textId="1F81551F" w:rsidR="008A6DCB" w:rsidRDefault="00D87E64" w:rsidP="4E41A101">
      <w:pPr>
        <w:spacing w:after="120"/>
        <w:jc w:val="both"/>
        <w:rPr>
          <w:rFonts w:asciiTheme="minorHAnsi" w:hAnsiTheme="minorHAnsi" w:cstheme="minorBidi"/>
          <w:color w:val="000000" w:themeColor="text1"/>
          <w:shd w:val="clear" w:color="auto" w:fill="FFFFFF"/>
        </w:rPr>
      </w:pPr>
      <w:r w:rsidRPr="4E41A101">
        <w:rPr>
          <w:rFonts w:asciiTheme="minorHAnsi" w:hAnsiTheme="minorHAnsi" w:cstheme="minorBidi"/>
          <w:color w:val="000000" w:themeColor="text1"/>
          <w:shd w:val="clear" w:color="auto" w:fill="FFFFFF"/>
        </w:rPr>
        <w:t xml:space="preserve">DCAS </w:t>
      </w:r>
      <w:r w:rsidR="32BC0F5D" w:rsidRPr="4E41A101">
        <w:rPr>
          <w:rFonts w:asciiTheme="minorHAnsi" w:hAnsiTheme="minorHAnsi" w:cstheme="minorBidi"/>
          <w:color w:val="000000" w:themeColor="text1"/>
          <w:shd w:val="clear" w:color="auto" w:fill="FFFFFF"/>
        </w:rPr>
        <w:t xml:space="preserve">(the Department) </w:t>
      </w:r>
      <w:r w:rsidRPr="4E41A101">
        <w:rPr>
          <w:rFonts w:asciiTheme="minorHAnsi" w:hAnsiTheme="minorHAnsi" w:cstheme="minorBidi"/>
          <w:color w:val="000000" w:themeColor="text1"/>
          <w:shd w:val="clear" w:color="auto" w:fill="FFFFFF"/>
        </w:rPr>
        <w:t xml:space="preserve">is the largest agency within the purview of the Committee on Governmental Operations, and its Fiscal 2022 </w:t>
      </w:r>
      <w:r w:rsidR="00622605" w:rsidRPr="4E41A101">
        <w:rPr>
          <w:rFonts w:asciiTheme="minorHAnsi" w:hAnsiTheme="minorHAnsi" w:cstheme="minorBidi"/>
          <w:color w:val="000000" w:themeColor="text1"/>
          <w:shd w:val="clear" w:color="auto" w:fill="FFFFFF"/>
        </w:rPr>
        <w:t>Executive B</w:t>
      </w:r>
      <w:r w:rsidRPr="4E41A101">
        <w:rPr>
          <w:rFonts w:asciiTheme="minorHAnsi" w:hAnsiTheme="minorHAnsi" w:cstheme="minorBidi"/>
          <w:color w:val="000000" w:themeColor="text1"/>
          <w:shd w:val="clear" w:color="auto" w:fill="FFFFFF"/>
        </w:rPr>
        <w:t>udget</w:t>
      </w:r>
      <w:r w:rsidR="00622605" w:rsidRPr="4E41A101">
        <w:rPr>
          <w:rFonts w:asciiTheme="minorHAnsi" w:hAnsiTheme="minorHAnsi" w:cstheme="minorBidi"/>
          <w:color w:val="000000" w:themeColor="text1"/>
          <w:shd w:val="clear" w:color="auto" w:fill="FFFFFF"/>
        </w:rPr>
        <w:t xml:space="preserve"> </w:t>
      </w:r>
      <w:r w:rsidRPr="4E41A101">
        <w:rPr>
          <w:rFonts w:asciiTheme="minorHAnsi" w:hAnsiTheme="minorHAnsi" w:cstheme="minorBidi"/>
          <w:color w:val="000000" w:themeColor="text1"/>
          <w:shd w:val="clear" w:color="auto" w:fill="FFFFFF"/>
        </w:rPr>
        <w:t xml:space="preserve">totals $1.35 billion, including $224 million in Personal Services (PS) funding to support </w:t>
      </w:r>
      <w:r w:rsidR="00C461C6" w:rsidRPr="4E41A101">
        <w:rPr>
          <w:rFonts w:asciiTheme="minorHAnsi" w:hAnsiTheme="minorHAnsi" w:cstheme="minorBidi"/>
          <w:color w:val="000000" w:themeColor="text1"/>
          <w:shd w:val="clear" w:color="auto" w:fill="FFFFFF"/>
        </w:rPr>
        <w:t>2,546</w:t>
      </w:r>
      <w:r w:rsidRPr="4E41A101">
        <w:rPr>
          <w:rFonts w:asciiTheme="minorHAnsi" w:hAnsiTheme="minorHAnsi" w:cstheme="minorBidi"/>
          <w:color w:val="000000" w:themeColor="text1"/>
          <w:shd w:val="clear" w:color="auto" w:fill="FFFFFF"/>
        </w:rPr>
        <w:t xml:space="preserve"> full-time positions, and $1.1 billion in Other Than Personal Services (OTPS) funding. It </w:t>
      </w:r>
      <w:proofErr w:type="gramStart"/>
      <w:r w:rsidRPr="4E41A101">
        <w:rPr>
          <w:rFonts w:asciiTheme="minorHAnsi" w:hAnsiTheme="minorHAnsi" w:cstheme="minorBidi"/>
          <w:color w:val="000000" w:themeColor="text1"/>
          <w:shd w:val="clear" w:color="auto" w:fill="FFFFFF"/>
        </w:rPr>
        <w:t>should be noted</w:t>
      </w:r>
      <w:proofErr w:type="gramEnd"/>
      <w:r w:rsidRPr="4E41A101">
        <w:rPr>
          <w:rFonts w:asciiTheme="minorHAnsi" w:hAnsiTheme="minorHAnsi" w:cstheme="minorBidi"/>
          <w:color w:val="000000" w:themeColor="text1"/>
          <w:shd w:val="clear" w:color="auto" w:fill="FFFFFF"/>
        </w:rPr>
        <w:t xml:space="preserve"> that DCAS’ Fiscal 2022 budget includes $814.6 million in intra-city funding, the vast majority of which is allocated to pay for the City’s Heat, Light and Power bill. Below is a table detailing DCAS’ 5-year budget as of the release of the Fiscal 2022 Executive Budget, compared to its Fiscal 2022 Preliminary Budget. </w:t>
      </w:r>
    </w:p>
    <w:tbl>
      <w:tblPr>
        <w:tblW w:w="8921" w:type="dxa"/>
        <w:tblLook w:val="04A0" w:firstRow="1" w:lastRow="0" w:firstColumn="1" w:lastColumn="0" w:noHBand="0" w:noVBand="1"/>
      </w:tblPr>
      <w:tblGrid>
        <w:gridCol w:w="2063"/>
        <w:gridCol w:w="1378"/>
        <w:gridCol w:w="1370"/>
        <w:gridCol w:w="1370"/>
        <w:gridCol w:w="1370"/>
        <w:gridCol w:w="1370"/>
      </w:tblGrid>
      <w:tr w:rsidR="00F35917" w:rsidRPr="006E0231" w14:paraId="7D924F3E" w14:textId="77777777" w:rsidTr="00A46DC0">
        <w:trPr>
          <w:trHeight w:val="20"/>
        </w:trPr>
        <w:tc>
          <w:tcPr>
            <w:tcW w:w="89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54418" w14:textId="77777777" w:rsidR="00F35917" w:rsidRPr="006E0231" w:rsidRDefault="00F35917" w:rsidP="006E0231">
            <w:pPr>
              <w:jc w:val="center"/>
              <w:rPr>
                <w:rFonts w:asciiTheme="minorHAnsi" w:hAnsiTheme="minorHAnsi" w:cs="Calibri"/>
                <w:b/>
                <w:bCs/>
                <w:color w:val="5B9BD5" w:themeColor="accent5"/>
              </w:rPr>
            </w:pPr>
            <w:r w:rsidRPr="006E0231">
              <w:rPr>
                <w:rFonts w:asciiTheme="minorHAnsi" w:hAnsiTheme="minorHAnsi" w:cs="Calibri"/>
                <w:b/>
                <w:bCs/>
                <w:color w:val="0070C0"/>
              </w:rPr>
              <w:t>Department of Citywide Administrative Services (DCAS)</w:t>
            </w:r>
          </w:p>
        </w:tc>
      </w:tr>
      <w:tr w:rsidR="00F35917" w:rsidRPr="006E0231" w14:paraId="6AC6BBD6" w14:textId="77777777" w:rsidTr="00A46DC0">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70F6E78B" w14:textId="7CD8C9DE" w:rsidR="00F35917" w:rsidRPr="006E0231" w:rsidRDefault="00F35917" w:rsidP="006E0231">
            <w:pPr>
              <w:jc w:val="both"/>
              <w:rPr>
                <w:rFonts w:asciiTheme="minorHAnsi" w:hAnsiTheme="minorHAnsi" w:cs="Calibri"/>
                <w:b/>
                <w:bCs/>
                <w:i/>
                <w:iCs/>
                <w:color w:val="000000"/>
                <w:sz w:val="20"/>
                <w:szCs w:val="20"/>
              </w:rPr>
            </w:pPr>
            <w:r w:rsidRPr="006E0231">
              <w:rPr>
                <w:rFonts w:asciiTheme="minorHAnsi" w:hAnsiTheme="minorHAnsi" w:cs="Calibri"/>
                <w:color w:val="000000"/>
                <w:sz w:val="20"/>
                <w:szCs w:val="20"/>
              </w:rPr>
              <w:t> </w:t>
            </w:r>
            <w:r w:rsidRPr="006E0231">
              <w:rPr>
                <w:rFonts w:asciiTheme="minorHAnsi" w:hAnsiTheme="minorHAnsi" w:cs="Calibri"/>
                <w:b/>
                <w:bCs/>
                <w:i/>
                <w:iCs/>
                <w:color w:val="000000"/>
                <w:sz w:val="20"/>
                <w:szCs w:val="20"/>
              </w:rPr>
              <w:t>Dollars in Thousands</w:t>
            </w:r>
          </w:p>
        </w:tc>
        <w:tc>
          <w:tcPr>
            <w:tcW w:w="1378" w:type="dxa"/>
            <w:tcBorders>
              <w:top w:val="nil"/>
              <w:left w:val="nil"/>
              <w:bottom w:val="single" w:sz="4" w:space="0" w:color="auto"/>
              <w:right w:val="single" w:sz="4" w:space="0" w:color="auto"/>
            </w:tcBorders>
            <w:shd w:val="clear" w:color="auto" w:fill="auto"/>
            <w:noWrap/>
            <w:vAlign w:val="center"/>
            <w:hideMark/>
          </w:tcPr>
          <w:p w14:paraId="4B1DC099" w14:textId="77777777" w:rsidR="00F35917" w:rsidRPr="006E0231" w:rsidRDefault="00F35917" w:rsidP="006E0231">
            <w:pPr>
              <w:jc w:val="center"/>
              <w:rPr>
                <w:rFonts w:asciiTheme="minorHAnsi" w:hAnsiTheme="minorHAnsi" w:cs="Calibri"/>
                <w:b/>
                <w:bCs/>
                <w:color w:val="000000"/>
              </w:rPr>
            </w:pPr>
            <w:r w:rsidRPr="006E0231">
              <w:rPr>
                <w:rFonts w:asciiTheme="minorHAnsi" w:hAnsiTheme="minorHAnsi" w:cs="Calibri"/>
                <w:b/>
                <w:bCs/>
                <w:color w:val="000000"/>
              </w:rPr>
              <w:t>FY21</w:t>
            </w:r>
          </w:p>
        </w:tc>
        <w:tc>
          <w:tcPr>
            <w:tcW w:w="1370" w:type="dxa"/>
            <w:tcBorders>
              <w:top w:val="nil"/>
              <w:left w:val="nil"/>
              <w:bottom w:val="single" w:sz="4" w:space="0" w:color="auto"/>
              <w:right w:val="single" w:sz="4" w:space="0" w:color="auto"/>
            </w:tcBorders>
            <w:shd w:val="clear" w:color="auto" w:fill="auto"/>
            <w:noWrap/>
            <w:vAlign w:val="center"/>
            <w:hideMark/>
          </w:tcPr>
          <w:p w14:paraId="4F728639" w14:textId="77777777" w:rsidR="00F35917" w:rsidRPr="006E0231" w:rsidRDefault="00F35917" w:rsidP="006E0231">
            <w:pPr>
              <w:jc w:val="center"/>
              <w:rPr>
                <w:rFonts w:asciiTheme="minorHAnsi" w:hAnsiTheme="minorHAnsi" w:cs="Calibri"/>
                <w:b/>
                <w:bCs/>
                <w:color w:val="000000"/>
              </w:rPr>
            </w:pPr>
            <w:r w:rsidRPr="006E0231">
              <w:rPr>
                <w:rFonts w:asciiTheme="minorHAnsi" w:hAnsiTheme="minorHAnsi" w:cs="Calibri"/>
                <w:b/>
                <w:bCs/>
                <w:color w:val="000000"/>
              </w:rPr>
              <w:t>FY22</w:t>
            </w:r>
          </w:p>
        </w:tc>
        <w:tc>
          <w:tcPr>
            <w:tcW w:w="1370" w:type="dxa"/>
            <w:tcBorders>
              <w:top w:val="nil"/>
              <w:left w:val="nil"/>
              <w:bottom w:val="single" w:sz="4" w:space="0" w:color="auto"/>
              <w:right w:val="single" w:sz="4" w:space="0" w:color="auto"/>
            </w:tcBorders>
            <w:shd w:val="clear" w:color="auto" w:fill="auto"/>
            <w:noWrap/>
            <w:vAlign w:val="center"/>
            <w:hideMark/>
          </w:tcPr>
          <w:p w14:paraId="77940DF9" w14:textId="77777777" w:rsidR="00F35917" w:rsidRPr="006E0231" w:rsidRDefault="00F35917" w:rsidP="006E0231">
            <w:pPr>
              <w:jc w:val="center"/>
              <w:rPr>
                <w:rFonts w:asciiTheme="minorHAnsi" w:hAnsiTheme="minorHAnsi" w:cs="Calibri"/>
                <w:b/>
                <w:bCs/>
                <w:color w:val="000000"/>
              </w:rPr>
            </w:pPr>
            <w:r w:rsidRPr="006E0231">
              <w:rPr>
                <w:rFonts w:asciiTheme="minorHAnsi" w:hAnsiTheme="minorHAnsi" w:cs="Calibri"/>
                <w:b/>
                <w:bCs/>
                <w:color w:val="000000"/>
              </w:rPr>
              <w:t>FY23</w:t>
            </w:r>
          </w:p>
        </w:tc>
        <w:tc>
          <w:tcPr>
            <w:tcW w:w="1370" w:type="dxa"/>
            <w:tcBorders>
              <w:top w:val="nil"/>
              <w:left w:val="nil"/>
              <w:bottom w:val="single" w:sz="4" w:space="0" w:color="auto"/>
              <w:right w:val="single" w:sz="4" w:space="0" w:color="auto"/>
            </w:tcBorders>
            <w:shd w:val="clear" w:color="auto" w:fill="auto"/>
            <w:noWrap/>
            <w:vAlign w:val="center"/>
            <w:hideMark/>
          </w:tcPr>
          <w:p w14:paraId="05E8FE6D" w14:textId="77777777" w:rsidR="00F35917" w:rsidRPr="006E0231" w:rsidRDefault="00F35917" w:rsidP="006E0231">
            <w:pPr>
              <w:jc w:val="center"/>
              <w:rPr>
                <w:rFonts w:asciiTheme="minorHAnsi" w:hAnsiTheme="minorHAnsi" w:cs="Calibri"/>
                <w:b/>
                <w:bCs/>
                <w:color w:val="000000"/>
              </w:rPr>
            </w:pPr>
            <w:r w:rsidRPr="006E0231">
              <w:rPr>
                <w:rFonts w:asciiTheme="minorHAnsi" w:hAnsiTheme="minorHAnsi" w:cs="Calibri"/>
                <w:b/>
                <w:bCs/>
                <w:color w:val="000000"/>
              </w:rPr>
              <w:t>FY24</w:t>
            </w:r>
          </w:p>
        </w:tc>
        <w:tc>
          <w:tcPr>
            <w:tcW w:w="1370" w:type="dxa"/>
            <w:tcBorders>
              <w:top w:val="nil"/>
              <w:left w:val="nil"/>
              <w:bottom w:val="single" w:sz="4" w:space="0" w:color="auto"/>
              <w:right w:val="single" w:sz="4" w:space="0" w:color="auto"/>
            </w:tcBorders>
            <w:shd w:val="clear" w:color="auto" w:fill="auto"/>
            <w:noWrap/>
            <w:vAlign w:val="center"/>
            <w:hideMark/>
          </w:tcPr>
          <w:p w14:paraId="56753D8A" w14:textId="77777777" w:rsidR="00F35917" w:rsidRPr="006E0231" w:rsidRDefault="00F35917" w:rsidP="006E0231">
            <w:pPr>
              <w:jc w:val="center"/>
              <w:rPr>
                <w:rFonts w:asciiTheme="minorHAnsi" w:hAnsiTheme="minorHAnsi" w:cs="Calibri"/>
                <w:b/>
                <w:bCs/>
                <w:color w:val="000000"/>
              </w:rPr>
            </w:pPr>
            <w:r w:rsidRPr="006E0231">
              <w:rPr>
                <w:rFonts w:asciiTheme="minorHAnsi" w:hAnsiTheme="minorHAnsi" w:cs="Calibri"/>
                <w:b/>
                <w:bCs/>
                <w:color w:val="000000"/>
              </w:rPr>
              <w:t>FY25</w:t>
            </w:r>
          </w:p>
        </w:tc>
      </w:tr>
      <w:tr w:rsidR="00F35917" w:rsidRPr="006E0231" w14:paraId="16A0BD97" w14:textId="77777777" w:rsidTr="00A46DC0">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6520DF60" w14:textId="77777777" w:rsidR="00F35917" w:rsidRPr="006E0231" w:rsidRDefault="00F35917" w:rsidP="006E0231">
            <w:pPr>
              <w:jc w:val="both"/>
              <w:rPr>
                <w:rFonts w:asciiTheme="minorHAnsi" w:hAnsiTheme="minorHAnsi" w:cs="Calibri"/>
                <w:b/>
                <w:bCs/>
                <w:color w:val="0070C0"/>
              </w:rPr>
            </w:pPr>
            <w:r w:rsidRPr="006E0231">
              <w:rPr>
                <w:rFonts w:asciiTheme="minorHAnsi" w:hAnsiTheme="minorHAnsi" w:cs="Calibri"/>
                <w:b/>
                <w:bCs/>
                <w:color w:val="0070C0"/>
              </w:rPr>
              <w:t>FY22 Prelim</w:t>
            </w:r>
          </w:p>
        </w:tc>
        <w:tc>
          <w:tcPr>
            <w:tcW w:w="1378" w:type="dxa"/>
            <w:tcBorders>
              <w:top w:val="nil"/>
              <w:left w:val="nil"/>
              <w:bottom w:val="single" w:sz="4" w:space="0" w:color="auto"/>
              <w:right w:val="single" w:sz="4" w:space="0" w:color="auto"/>
            </w:tcBorders>
            <w:shd w:val="clear" w:color="auto" w:fill="auto"/>
            <w:noWrap/>
            <w:vAlign w:val="center"/>
            <w:hideMark/>
          </w:tcPr>
          <w:p w14:paraId="39264F99" w14:textId="53155757"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$1,989,058</w:t>
            </w:r>
          </w:p>
        </w:tc>
        <w:tc>
          <w:tcPr>
            <w:tcW w:w="1370" w:type="dxa"/>
            <w:tcBorders>
              <w:top w:val="nil"/>
              <w:left w:val="nil"/>
              <w:bottom w:val="single" w:sz="4" w:space="0" w:color="auto"/>
              <w:right w:val="single" w:sz="4" w:space="0" w:color="auto"/>
            </w:tcBorders>
            <w:shd w:val="clear" w:color="auto" w:fill="auto"/>
            <w:noWrap/>
            <w:vAlign w:val="center"/>
            <w:hideMark/>
          </w:tcPr>
          <w:p w14:paraId="0DC885BD" w14:textId="33335611"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$1,297,623</w:t>
            </w:r>
          </w:p>
        </w:tc>
        <w:tc>
          <w:tcPr>
            <w:tcW w:w="1370" w:type="dxa"/>
            <w:tcBorders>
              <w:top w:val="nil"/>
              <w:left w:val="nil"/>
              <w:bottom w:val="single" w:sz="4" w:space="0" w:color="auto"/>
              <w:right w:val="single" w:sz="4" w:space="0" w:color="auto"/>
            </w:tcBorders>
            <w:shd w:val="clear" w:color="auto" w:fill="auto"/>
            <w:noWrap/>
            <w:vAlign w:val="center"/>
            <w:hideMark/>
          </w:tcPr>
          <w:p w14:paraId="60BF5F60" w14:textId="7BD287EA"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$1,295,079</w:t>
            </w:r>
          </w:p>
        </w:tc>
        <w:tc>
          <w:tcPr>
            <w:tcW w:w="1370" w:type="dxa"/>
            <w:tcBorders>
              <w:top w:val="nil"/>
              <w:left w:val="nil"/>
              <w:bottom w:val="single" w:sz="4" w:space="0" w:color="auto"/>
              <w:right w:val="single" w:sz="4" w:space="0" w:color="auto"/>
            </w:tcBorders>
            <w:shd w:val="clear" w:color="auto" w:fill="auto"/>
            <w:noWrap/>
            <w:vAlign w:val="center"/>
            <w:hideMark/>
          </w:tcPr>
          <w:p w14:paraId="28BADD2A" w14:textId="7EB741F6"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$1,295,084</w:t>
            </w:r>
          </w:p>
        </w:tc>
        <w:tc>
          <w:tcPr>
            <w:tcW w:w="1370" w:type="dxa"/>
            <w:tcBorders>
              <w:top w:val="nil"/>
              <w:left w:val="nil"/>
              <w:bottom w:val="single" w:sz="4" w:space="0" w:color="auto"/>
              <w:right w:val="single" w:sz="4" w:space="0" w:color="auto"/>
            </w:tcBorders>
            <w:shd w:val="clear" w:color="auto" w:fill="auto"/>
            <w:noWrap/>
            <w:vAlign w:val="center"/>
            <w:hideMark/>
          </w:tcPr>
          <w:p w14:paraId="23C34E54" w14:textId="2B4060F6"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$1,295,084</w:t>
            </w:r>
          </w:p>
        </w:tc>
      </w:tr>
      <w:tr w:rsidR="00F35917" w:rsidRPr="006E0231" w14:paraId="44AC7FDE" w14:textId="77777777" w:rsidTr="00A46DC0">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2F9611DD" w14:textId="77777777" w:rsidR="00F35917" w:rsidRPr="006E0231" w:rsidRDefault="00F35917" w:rsidP="006E0231">
            <w:pPr>
              <w:jc w:val="both"/>
              <w:rPr>
                <w:rFonts w:asciiTheme="minorHAnsi" w:hAnsiTheme="minorHAnsi" w:cs="Calibri"/>
                <w:i/>
                <w:iCs/>
                <w:color w:val="000000"/>
              </w:rPr>
            </w:pPr>
            <w:r w:rsidRPr="006E0231">
              <w:rPr>
                <w:rFonts w:asciiTheme="minorHAnsi" w:hAnsiTheme="minorHAnsi" w:cs="Calibri"/>
                <w:i/>
                <w:iCs/>
                <w:color w:val="000000"/>
              </w:rPr>
              <w:t>New Needs</w:t>
            </w:r>
          </w:p>
        </w:tc>
        <w:tc>
          <w:tcPr>
            <w:tcW w:w="1378" w:type="dxa"/>
            <w:tcBorders>
              <w:top w:val="nil"/>
              <w:left w:val="nil"/>
              <w:bottom w:val="single" w:sz="4" w:space="0" w:color="auto"/>
              <w:right w:val="single" w:sz="4" w:space="0" w:color="auto"/>
            </w:tcBorders>
            <w:shd w:val="clear" w:color="auto" w:fill="auto"/>
            <w:noWrap/>
            <w:vAlign w:val="center"/>
            <w:hideMark/>
          </w:tcPr>
          <w:p w14:paraId="2B38141E" w14:textId="5FD49256"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2,628</w:t>
            </w:r>
          </w:p>
        </w:tc>
        <w:tc>
          <w:tcPr>
            <w:tcW w:w="1370" w:type="dxa"/>
            <w:tcBorders>
              <w:top w:val="nil"/>
              <w:left w:val="nil"/>
              <w:bottom w:val="single" w:sz="4" w:space="0" w:color="auto"/>
              <w:right w:val="single" w:sz="4" w:space="0" w:color="auto"/>
            </w:tcBorders>
            <w:shd w:val="clear" w:color="auto" w:fill="auto"/>
            <w:noWrap/>
            <w:vAlign w:val="center"/>
            <w:hideMark/>
          </w:tcPr>
          <w:p w14:paraId="21688BA8" w14:textId="78FEC654"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11,639</w:t>
            </w:r>
          </w:p>
        </w:tc>
        <w:tc>
          <w:tcPr>
            <w:tcW w:w="1370" w:type="dxa"/>
            <w:tcBorders>
              <w:top w:val="nil"/>
              <w:left w:val="nil"/>
              <w:bottom w:val="single" w:sz="4" w:space="0" w:color="auto"/>
              <w:right w:val="single" w:sz="4" w:space="0" w:color="auto"/>
            </w:tcBorders>
            <w:shd w:val="clear" w:color="auto" w:fill="auto"/>
            <w:noWrap/>
            <w:vAlign w:val="center"/>
            <w:hideMark/>
          </w:tcPr>
          <w:p w14:paraId="42C26DD2" w14:textId="610B8398"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6,882</w:t>
            </w:r>
          </w:p>
        </w:tc>
        <w:tc>
          <w:tcPr>
            <w:tcW w:w="1370" w:type="dxa"/>
            <w:tcBorders>
              <w:top w:val="nil"/>
              <w:left w:val="nil"/>
              <w:bottom w:val="single" w:sz="4" w:space="0" w:color="auto"/>
              <w:right w:val="single" w:sz="4" w:space="0" w:color="auto"/>
            </w:tcBorders>
            <w:shd w:val="clear" w:color="auto" w:fill="auto"/>
            <w:noWrap/>
            <w:vAlign w:val="center"/>
            <w:hideMark/>
          </w:tcPr>
          <w:p w14:paraId="37FBD733" w14:textId="11C43A75"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6,502</w:t>
            </w:r>
          </w:p>
        </w:tc>
        <w:tc>
          <w:tcPr>
            <w:tcW w:w="1370" w:type="dxa"/>
            <w:tcBorders>
              <w:top w:val="nil"/>
              <w:left w:val="nil"/>
              <w:bottom w:val="single" w:sz="4" w:space="0" w:color="auto"/>
              <w:right w:val="single" w:sz="4" w:space="0" w:color="auto"/>
            </w:tcBorders>
            <w:shd w:val="clear" w:color="auto" w:fill="auto"/>
            <w:noWrap/>
            <w:vAlign w:val="center"/>
            <w:hideMark/>
          </w:tcPr>
          <w:p w14:paraId="537B850F" w14:textId="300364FC"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6,002</w:t>
            </w:r>
          </w:p>
        </w:tc>
      </w:tr>
      <w:tr w:rsidR="00F35917" w:rsidRPr="006E0231" w14:paraId="21844555" w14:textId="77777777" w:rsidTr="00A46DC0">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28B24550" w14:textId="77777777" w:rsidR="00F35917" w:rsidRPr="006E0231" w:rsidRDefault="00F35917" w:rsidP="006E0231">
            <w:pPr>
              <w:jc w:val="both"/>
              <w:rPr>
                <w:rFonts w:asciiTheme="minorHAnsi" w:hAnsiTheme="minorHAnsi" w:cs="Calibri"/>
                <w:i/>
                <w:iCs/>
                <w:color w:val="000000"/>
              </w:rPr>
            </w:pPr>
            <w:r w:rsidRPr="006E0231">
              <w:rPr>
                <w:rFonts w:asciiTheme="minorHAnsi" w:hAnsiTheme="minorHAnsi" w:cs="Calibri"/>
                <w:i/>
                <w:iCs/>
                <w:color w:val="000000"/>
              </w:rPr>
              <w:t>Other Adjustments</w:t>
            </w:r>
          </w:p>
        </w:tc>
        <w:tc>
          <w:tcPr>
            <w:tcW w:w="1378" w:type="dxa"/>
            <w:tcBorders>
              <w:top w:val="nil"/>
              <w:left w:val="nil"/>
              <w:bottom w:val="single" w:sz="4" w:space="0" w:color="auto"/>
              <w:right w:val="single" w:sz="4" w:space="0" w:color="auto"/>
            </w:tcBorders>
            <w:shd w:val="clear" w:color="auto" w:fill="auto"/>
            <w:noWrap/>
            <w:vAlign w:val="center"/>
            <w:hideMark/>
          </w:tcPr>
          <w:p w14:paraId="5A19C37C" w14:textId="77777777"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(29,435)</w:t>
            </w:r>
          </w:p>
        </w:tc>
        <w:tc>
          <w:tcPr>
            <w:tcW w:w="1370" w:type="dxa"/>
            <w:tcBorders>
              <w:top w:val="nil"/>
              <w:left w:val="nil"/>
              <w:bottom w:val="single" w:sz="4" w:space="0" w:color="auto"/>
              <w:right w:val="single" w:sz="4" w:space="0" w:color="auto"/>
            </w:tcBorders>
            <w:shd w:val="clear" w:color="auto" w:fill="auto"/>
            <w:noWrap/>
            <w:vAlign w:val="center"/>
            <w:hideMark/>
          </w:tcPr>
          <w:p w14:paraId="296D5972" w14:textId="0D45E028"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43,964</w:t>
            </w:r>
          </w:p>
        </w:tc>
        <w:tc>
          <w:tcPr>
            <w:tcW w:w="1370" w:type="dxa"/>
            <w:tcBorders>
              <w:top w:val="nil"/>
              <w:left w:val="nil"/>
              <w:bottom w:val="single" w:sz="4" w:space="0" w:color="auto"/>
              <w:right w:val="single" w:sz="4" w:space="0" w:color="auto"/>
            </w:tcBorders>
            <w:shd w:val="clear" w:color="auto" w:fill="auto"/>
            <w:noWrap/>
            <w:vAlign w:val="center"/>
            <w:hideMark/>
          </w:tcPr>
          <w:p w14:paraId="630D2561" w14:textId="4CB51262"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55,296</w:t>
            </w:r>
          </w:p>
        </w:tc>
        <w:tc>
          <w:tcPr>
            <w:tcW w:w="1370" w:type="dxa"/>
            <w:tcBorders>
              <w:top w:val="nil"/>
              <w:left w:val="nil"/>
              <w:bottom w:val="single" w:sz="4" w:space="0" w:color="auto"/>
              <w:right w:val="single" w:sz="4" w:space="0" w:color="auto"/>
            </w:tcBorders>
            <w:shd w:val="clear" w:color="auto" w:fill="auto"/>
            <w:noWrap/>
            <w:vAlign w:val="center"/>
            <w:hideMark/>
          </w:tcPr>
          <w:p w14:paraId="0A5FF892" w14:textId="598F07C0"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55,296</w:t>
            </w:r>
          </w:p>
        </w:tc>
        <w:tc>
          <w:tcPr>
            <w:tcW w:w="1370" w:type="dxa"/>
            <w:tcBorders>
              <w:top w:val="nil"/>
              <w:left w:val="nil"/>
              <w:bottom w:val="single" w:sz="4" w:space="0" w:color="auto"/>
              <w:right w:val="single" w:sz="4" w:space="0" w:color="auto"/>
            </w:tcBorders>
            <w:shd w:val="clear" w:color="auto" w:fill="auto"/>
            <w:noWrap/>
            <w:vAlign w:val="center"/>
            <w:hideMark/>
          </w:tcPr>
          <w:p w14:paraId="1ECFB5F5" w14:textId="5F293BE5"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55,296</w:t>
            </w:r>
          </w:p>
        </w:tc>
      </w:tr>
      <w:tr w:rsidR="00F35917" w:rsidRPr="006E0231" w14:paraId="7BD2BDF7" w14:textId="77777777" w:rsidTr="00A46DC0">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6A6492BC" w14:textId="77777777" w:rsidR="00F35917" w:rsidRPr="006E0231" w:rsidRDefault="00F35917" w:rsidP="006E0231">
            <w:pPr>
              <w:jc w:val="both"/>
              <w:rPr>
                <w:rFonts w:asciiTheme="minorHAnsi" w:hAnsiTheme="minorHAnsi" w:cs="Calibri"/>
                <w:i/>
                <w:iCs/>
                <w:color w:val="000000"/>
              </w:rPr>
            </w:pPr>
            <w:r w:rsidRPr="006E0231">
              <w:rPr>
                <w:rFonts w:asciiTheme="minorHAnsi" w:hAnsiTheme="minorHAnsi" w:cs="Calibri"/>
                <w:i/>
                <w:iCs/>
                <w:color w:val="000000"/>
              </w:rPr>
              <w:lastRenderedPageBreak/>
              <w:t>Savings</w:t>
            </w:r>
          </w:p>
        </w:tc>
        <w:tc>
          <w:tcPr>
            <w:tcW w:w="1378" w:type="dxa"/>
            <w:tcBorders>
              <w:top w:val="nil"/>
              <w:left w:val="nil"/>
              <w:bottom w:val="single" w:sz="4" w:space="0" w:color="auto"/>
              <w:right w:val="single" w:sz="4" w:space="0" w:color="auto"/>
            </w:tcBorders>
            <w:shd w:val="clear" w:color="auto" w:fill="auto"/>
            <w:noWrap/>
            <w:vAlign w:val="center"/>
            <w:hideMark/>
          </w:tcPr>
          <w:p w14:paraId="2F5E33BA" w14:textId="77777777"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(12,436)</w:t>
            </w:r>
          </w:p>
        </w:tc>
        <w:tc>
          <w:tcPr>
            <w:tcW w:w="1370" w:type="dxa"/>
            <w:tcBorders>
              <w:top w:val="nil"/>
              <w:left w:val="nil"/>
              <w:bottom w:val="single" w:sz="4" w:space="0" w:color="auto"/>
              <w:right w:val="single" w:sz="4" w:space="0" w:color="auto"/>
            </w:tcBorders>
            <w:shd w:val="clear" w:color="auto" w:fill="auto"/>
            <w:noWrap/>
            <w:vAlign w:val="center"/>
            <w:hideMark/>
          </w:tcPr>
          <w:p w14:paraId="4BF342F5" w14:textId="77777777"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(97)</w:t>
            </w:r>
          </w:p>
        </w:tc>
        <w:tc>
          <w:tcPr>
            <w:tcW w:w="1370" w:type="dxa"/>
            <w:tcBorders>
              <w:top w:val="nil"/>
              <w:left w:val="nil"/>
              <w:bottom w:val="single" w:sz="4" w:space="0" w:color="auto"/>
              <w:right w:val="single" w:sz="4" w:space="0" w:color="auto"/>
            </w:tcBorders>
            <w:shd w:val="clear" w:color="auto" w:fill="auto"/>
            <w:noWrap/>
            <w:vAlign w:val="center"/>
            <w:hideMark/>
          </w:tcPr>
          <w:p w14:paraId="4E5C896B" w14:textId="4BEBB6A7"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70" w:type="dxa"/>
            <w:tcBorders>
              <w:top w:val="nil"/>
              <w:left w:val="nil"/>
              <w:bottom w:val="single" w:sz="4" w:space="0" w:color="auto"/>
              <w:right w:val="single" w:sz="4" w:space="0" w:color="auto"/>
            </w:tcBorders>
            <w:shd w:val="clear" w:color="auto" w:fill="auto"/>
            <w:noWrap/>
            <w:vAlign w:val="center"/>
            <w:hideMark/>
          </w:tcPr>
          <w:p w14:paraId="4F10B499" w14:textId="2CCB052D"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70" w:type="dxa"/>
            <w:tcBorders>
              <w:top w:val="nil"/>
              <w:left w:val="nil"/>
              <w:bottom w:val="single" w:sz="4" w:space="0" w:color="auto"/>
              <w:right w:val="single" w:sz="4" w:space="0" w:color="auto"/>
            </w:tcBorders>
            <w:shd w:val="clear" w:color="auto" w:fill="auto"/>
            <w:noWrap/>
            <w:vAlign w:val="center"/>
            <w:hideMark/>
          </w:tcPr>
          <w:p w14:paraId="4EED2C8B" w14:textId="03926764" w:rsidR="00F35917" w:rsidRPr="006E0231" w:rsidRDefault="00F35917"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F35917" w:rsidRPr="006E0231" w14:paraId="47D3AA50" w14:textId="77777777" w:rsidTr="00A46DC0">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5ECE9507" w14:textId="77777777" w:rsidR="00F35917" w:rsidRPr="006E0231" w:rsidRDefault="00F35917" w:rsidP="006E0231">
            <w:pPr>
              <w:jc w:val="both"/>
              <w:rPr>
                <w:rFonts w:asciiTheme="minorHAnsi" w:hAnsiTheme="minorHAnsi" w:cs="Calibri"/>
                <w:b/>
                <w:bCs/>
                <w:i/>
                <w:iCs/>
                <w:color w:val="000000"/>
              </w:rPr>
            </w:pPr>
            <w:r w:rsidRPr="006E0231">
              <w:rPr>
                <w:rFonts w:asciiTheme="minorHAnsi" w:hAnsiTheme="minorHAnsi" w:cs="Calibri"/>
                <w:b/>
                <w:bCs/>
                <w:i/>
                <w:iCs/>
                <w:color w:val="000000"/>
              </w:rPr>
              <w:t>Total Change</w:t>
            </w:r>
          </w:p>
        </w:tc>
        <w:tc>
          <w:tcPr>
            <w:tcW w:w="1378" w:type="dxa"/>
            <w:tcBorders>
              <w:top w:val="nil"/>
              <w:left w:val="nil"/>
              <w:bottom w:val="single" w:sz="4" w:space="0" w:color="auto"/>
              <w:right w:val="single" w:sz="4" w:space="0" w:color="auto"/>
            </w:tcBorders>
            <w:shd w:val="clear" w:color="auto" w:fill="auto"/>
            <w:noWrap/>
            <w:vAlign w:val="center"/>
            <w:hideMark/>
          </w:tcPr>
          <w:p w14:paraId="363827C0" w14:textId="22952B37" w:rsidR="00F35917" w:rsidRPr="006E0231" w:rsidRDefault="00F35917"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$(39,243)</w:t>
            </w:r>
          </w:p>
        </w:tc>
        <w:tc>
          <w:tcPr>
            <w:tcW w:w="1370" w:type="dxa"/>
            <w:tcBorders>
              <w:top w:val="nil"/>
              <w:left w:val="nil"/>
              <w:bottom w:val="single" w:sz="4" w:space="0" w:color="auto"/>
              <w:right w:val="single" w:sz="4" w:space="0" w:color="auto"/>
            </w:tcBorders>
            <w:shd w:val="clear" w:color="auto" w:fill="auto"/>
            <w:noWrap/>
            <w:vAlign w:val="center"/>
            <w:hideMark/>
          </w:tcPr>
          <w:p w14:paraId="2359D468" w14:textId="6D9F44AB" w:rsidR="00F35917" w:rsidRPr="006E0231" w:rsidRDefault="00F35917"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$55,506</w:t>
            </w:r>
          </w:p>
        </w:tc>
        <w:tc>
          <w:tcPr>
            <w:tcW w:w="1370" w:type="dxa"/>
            <w:tcBorders>
              <w:top w:val="nil"/>
              <w:left w:val="nil"/>
              <w:bottom w:val="single" w:sz="4" w:space="0" w:color="auto"/>
              <w:right w:val="single" w:sz="4" w:space="0" w:color="auto"/>
            </w:tcBorders>
            <w:shd w:val="clear" w:color="auto" w:fill="auto"/>
            <w:noWrap/>
            <w:vAlign w:val="center"/>
            <w:hideMark/>
          </w:tcPr>
          <w:p w14:paraId="48366396" w14:textId="163050C4" w:rsidR="00F35917" w:rsidRPr="006E0231" w:rsidRDefault="00F35917"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$62,178</w:t>
            </w:r>
          </w:p>
        </w:tc>
        <w:tc>
          <w:tcPr>
            <w:tcW w:w="1370" w:type="dxa"/>
            <w:tcBorders>
              <w:top w:val="nil"/>
              <w:left w:val="nil"/>
              <w:bottom w:val="single" w:sz="4" w:space="0" w:color="auto"/>
              <w:right w:val="single" w:sz="4" w:space="0" w:color="auto"/>
            </w:tcBorders>
            <w:shd w:val="clear" w:color="auto" w:fill="auto"/>
            <w:noWrap/>
            <w:vAlign w:val="center"/>
            <w:hideMark/>
          </w:tcPr>
          <w:p w14:paraId="6997481B" w14:textId="0036D215" w:rsidR="00F35917" w:rsidRPr="006E0231" w:rsidRDefault="00F35917"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$61,798</w:t>
            </w:r>
          </w:p>
        </w:tc>
        <w:tc>
          <w:tcPr>
            <w:tcW w:w="1370" w:type="dxa"/>
            <w:tcBorders>
              <w:top w:val="nil"/>
              <w:left w:val="nil"/>
              <w:bottom w:val="single" w:sz="4" w:space="0" w:color="auto"/>
              <w:right w:val="single" w:sz="4" w:space="0" w:color="auto"/>
            </w:tcBorders>
            <w:shd w:val="clear" w:color="auto" w:fill="auto"/>
            <w:noWrap/>
            <w:vAlign w:val="center"/>
            <w:hideMark/>
          </w:tcPr>
          <w:p w14:paraId="6BB6331C" w14:textId="1E25DD14" w:rsidR="00F35917" w:rsidRPr="006E0231" w:rsidRDefault="00F35917"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$61,298</w:t>
            </w:r>
          </w:p>
        </w:tc>
      </w:tr>
      <w:tr w:rsidR="00F35917" w:rsidRPr="006E0231" w14:paraId="2B5DBD33" w14:textId="77777777" w:rsidTr="00A46DC0">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1E39A3B2" w14:textId="77777777" w:rsidR="00F35917" w:rsidRPr="006E0231" w:rsidRDefault="00F35917" w:rsidP="006E0231">
            <w:pPr>
              <w:jc w:val="both"/>
              <w:rPr>
                <w:rFonts w:asciiTheme="minorHAnsi" w:hAnsiTheme="minorHAnsi" w:cs="Calibri"/>
                <w:b/>
                <w:bCs/>
                <w:color w:val="0070C0"/>
              </w:rPr>
            </w:pPr>
            <w:r w:rsidRPr="006E0231">
              <w:rPr>
                <w:rFonts w:asciiTheme="minorHAnsi" w:hAnsiTheme="minorHAnsi" w:cs="Calibri"/>
                <w:b/>
                <w:bCs/>
                <w:color w:val="0070C0"/>
              </w:rPr>
              <w:t>FY22 Exec</w:t>
            </w:r>
          </w:p>
        </w:tc>
        <w:tc>
          <w:tcPr>
            <w:tcW w:w="1378" w:type="dxa"/>
            <w:tcBorders>
              <w:top w:val="nil"/>
              <w:left w:val="nil"/>
              <w:bottom w:val="single" w:sz="4" w:space="0" w:color="auto"/>
              <w:right w:val="single" w:sz="4" w:space="0" w:color="auto"/>
            </w:tcBorders>
            <w:shd w:val="clear" w:color="auto" w:fill="auto"/>
            <w:noWrap/>
            <w:vAlign w:val="center"/>
            <w:hideMark/>
          </w:tcPr>
          <w:p w14:paraId="244994F8" w14:textId="46B69EFF"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$1,949,815</w:t>
            </w:r>
          </w:p>
        </w:tc>
        <w:tc>
          <w:tcPr>
            <w:tcW w:w="1370" w:type="dxa"/>
            <w:tcBorders>
              <w:top w:val="nil"/>
              <w:left w:val="nil"/>
              <w:bottom w:val="single" w:sz="4" w:space="0" w:color="auto"/>
              <w:right w:val="single" w:sz="4" w:space="0" w:color="auto"/>
            </w:tcBorders>
            <w:shd w:val="clear" w:color="auto" w:fill="auto"/>
            <w:noWrap/>
            <w:vAlign w:val="center"/>
            <w:hideMark/>
          </w:tcPr>
          <w:p w14:paraId="35E4B580" w14:textId="4D55BDFF"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$1,353,129</w:t>
            </w:r>
          </w:p>
        </w:tc>
        <w:tc>
          <w:tcPr>
            <w:tcW w:w="1370" w:type="dxa"/>
            <w:tcBorders>
              <w:top w:val="nil"/>
              <w:left w:val="nil"/>
              <w:bottom w:val="single" w:sz="4" w:space="0" w:color="auto"/>
              <w:right w:val="single" w:sz="4" w:space="0" w:color="auto"/>
            </w:tcBorders>
            <w:shd w:val="clear" w:color="auto" w:fill="auto"/>
            <w:noWrap/>
            <w:vAlign w:val="center"/>
            <w:hideMark/>
          </w:tcPr>
          <w:p w14:paraId="2213CD50" w14:textId="1B2DD4BE"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$1,357,259</w:t>
            </w:r>
          </w:p>
        </w:tc>
        <w:tc>
          <w:tcPr>
            <w:tcW w:w="1370" w:type="dxa"/>
            <w:tcBorders>
              <w:top w:val="nil"/>
              <w:left w:val="nil"/>
              <w:bottom w:val="single" w:sz="4" w:space="0" w:color="auto"/>
              <w:right w:val="single" w:sz="4" w:space="0" w:color="auto"/>
            </w:tcBorders>
            <w:shd w:val="clear" w:color="auto" w:fill="auto"/>
            <w:noWrap/>
            <w:vAlign w:val="center"/>
            <w:hideMark/>
          </w:tcPr>
          <w:p w14:paraId="6CB8396C" w14:textId="6F2AA403"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$1,356,883</w:t>
            </w:r>
          </w:p>
        </w:tc>
        <w:tc>
          <w:tcPr>
            <w:tcW w:w="1370" w:type="dxa"/>
            <w:tcBorders>
              <w:top w:val="nil"/>
              <w:left w:val="nil"/>
              <w:bottom w:val="single" w:sz="4" w:space="0" w:color="auto"/>
              <w:right w:val="single" w:sz="4" w:space="0" w:color="auto"/>
            </w:tcBorders>
            <w:shd w:val="clear" w:color="auto" w:fill="auto"/>
            <w:noWrap/>
            <w:vAlign w:val="center"/>
            <w:hideMark/>
          </w:tcPr>
          <w:p w14:paraId="727FC963" w14:textId="0CFAA13D" w:rsidR="00F35917" w:rsidRPr="006E0231" w:rsidRDefault="00F35917" w:rsidP="16194CFB">
            <w:pPr>
              <w:jc w:val="right"/>
              <w:rPr>
                <w:rFonts w:asciiTheme="minorHAnsi" w:hAnsiTheme="minorHAnsi" w:cs="Calibri"/>
                <w:b/>
                <w:bCs/>
                <w:color w:val="000000"/>
              </w:rPr>
            </w:pPr>
            <w:r w:rsidRPr="16194CFB">
              <w:rPr>
                <w:rFonts w:asciiTheme="minorHAnsi" w:hAnsiTheme="minorHAnsi" w:cs="Calibri"/>
                <w:b/>
                <w:bCs/>
                <w:color w:val="000000" w:themeColor="text1"/>
              </w:rPr>
              <w:t>$1,356,383</w:t>
            </w:r>
          </w:p>
        </w:tc>
      </w:tr>
    </w:tbl>
    <w:p w14:paraId="306CC016" w14:textId="7A67E93B" w:rsidR="00E96C46" w:rsidRPr="006E0231" w:rsidRDefault="0092214C" w:rsidP="16194CFB">
      <w:pPr>
        <w:spacing w:before="120"/>
        <w:jc w:val="both"/>
        <w:rPr>
          <w:rFonts w:asciiTheme="minorHAnsi" w:hAnsiTheme="minorHAnsi" w:cstheme="minorBidi"/>
          <w:color w:val="000000" w:themeColor="text1"/>
          <w:shd w:val="clear" w:color="auto" w:fill="FFFFFF"/>
        </w:rPr>
      </w:pPr>
      <w:r w:rsidRPr="16194CFB">
        <w:rPr>
          <w:rFonts w:asciiTheme="minorHAnsi" w:hAnsiTheme="minorHAnsi" w:cstheme="minorBidi"/>
          <w:color w:val="000000" w:themeColor="text1"/>
          <w:shd w:val="clear" w:color="auto" w:fill="FFFFFF"/>
        </w:rPr>
        <w:t xml:space="preserve">As mentioned above, DCAS’ Fiscal 2022 Executive budget totals $1.35 billion, which </w:t>
      </w:r>
      <w:r w:rsidR="200C7E53" w:rsidRPr="16194CFB">
        <w:rPr>
          <w:rFonts w:asciiTheme="minorHAnsi" w:hAnsiTheme="minorHAnsi" w:cstheme="minorBidi"/>
          <w:color w:val="000000" w:themeColor="text1"/>
          <w:shd w:val="clear" w:color="auto" w:fill="FFFFFF"/>
        </w:rPr>
        <w:t xml:space="preserve">represents a </w:t>
      </w:r>
      <w:r w:rsidRPr="16194CFB">
        <w:rPr>
          <w:rFonts w:asciiTheme="minorHAnsi" w:hAnsiTheme="minorHAnsi" w:cstheme="minorBidi"/>
          <w:color w:val="000000" w:themeColor="text1"/>
          <w:shd w:val="clear" w:color="auto" w:fill="FFFFFF"/>
        </w:rPr>
        <w:t xml:space="preserve">$55.5 million </w:t>
      </w:r>
      <w:r w:rsidR="1341DE6F" w:rsidRPr="16194CFB">
        <w:rPr>
          <w:rFonts w:asciiTheme="minorHAnsi" w:hAnsiTheme="minorHAnsi" w:cstheme="minorBidi"/>
          <w:color w:val="000000" w:themeColor="text1"/>
          <w:shd w:val="clear" w:color="auto" w:fill="FFFFFF"/>
        </w:rPr>
        <w:t>increase</w:t>
      </w:r>
      <w:r w:rsidRPr="16194CFB">
        <w:rPr>
          <w:rFonts w:asciiTheme="minorHAnsi" w:hAnsiTheme="minorHAnsi" w:cstheme="minorBidi"/>
          <w:color w:val="000000" w:themeColor="text1"/>
          <w:shd w:val="clear" w:color="auto" w:fill="FFFFFF"/>
        </w:rPr>
        <w:t xml:space="preserve"> when compared to its Fiscal 2022 Preliminary budget. </w:t>
      </w:r>
      <w:r w:rsidR="008377DB" w:rsidRPr="16194CFB">
        <w:rPr>
          <w:rFonts w:asciiTheme="minorHAnsi" w:hAnsiTheme="minorHAnsi" w:cstheme="minorBidi"/>
          <w:color w:val="000000" w:themeColor="text1"/>
          <w:shd w:val="clear" w:color="auto" w:fill="FFFFFF"/>
        </w:rPr>
        <w:t xml:space="preserve">Additionally, the Department’s current year budget totals $1.9 billion, and is $39.2 million less than its Preliminary Budget. This decrease is primarily a result of other adjustments that reduced the Department’s budget and the Department’s savings program. </w:t>
      </w:r>
      <w:r w:rsidRPr="16194CFB">
        <w:rPr>
          <w:rFonts w:asciiTheme="minorHAnsi" w:hAnsiTheme="minorHAnsi" w:cstheme="minorBidi"/>
          <w:color w:val="000000" w:themeColor="text1"/>
          <w:shd w:val="clear" w:color="auto" w:fill="FFFFFF"/>
        </w:rPr>
        <w:t xml:space="preserve">The increase in funding in Fiscal 2022 and the </w:t>
      </w:r>
      <w:proofErr w:type="spellStart"/>
      <w:r w:rsidRPr="16194CFB">
        <w:rPr>
          <w:rFonts w:asciiTheme="minorHAnsi" w:hAnsiTheme="minorHAnsi" w:cstheme="minorBidi"/>
          <w:color w:val="000000" w:themeColor="text1"/>
          <w:shd w:val="clear" w:color="auto" w:fill="FFFFFF"/>
        </w:rPr>
        <w:t>outyears</w:t>
      </w:r>
      <w:proofErr w:type="spellEnd"/>
      <w:r w:rsidRPr="16194CFB">
        <w:rPr>
          <w:rFonts w:asciiTheme="minorHAnsi" w:hAnsiTheme="minorHAnsi" w:cstheme="minorBidi"/>
          <w:color w:val="000000" w:themeColor="text1"/>
          <w:shd w:val="clear" w:color="auto" w:fill="FFFFFF"/>
        </w:rPr>
        <w:t xml:space="preserve"> is primarily due to the Department’s new needs package and other adjustments</w:t>
      </w:r>
      <w:r w:rsidR="120E81F6" w:rsidRPr="16194CFB">
        <w:rPr>
          <w:rFonts w:asciiTheme="minorHAnsi" w:hAnsiTheme="minorHAnsi" w:cstheme="minorBidi"/>
          <w:color w:val="000000" w:themeColor="text1"/>
          <w:shd w:val="clear" w:color="auto" w:fill="FFFFFF"/>
        </w:rPr>
        <w:t>.</w:t>
      </w:r>
      <w:r w:rsidRPr="16194CFB">
        <w:rPr>
          <w:rFonts w:asciiTheme="minorHAnsi" w:hAnsiTheme="minorHAnsi" w:cstheme="minorBidi"/>
          <w:color w:val="000000" w:themeColor="text1"/>
          <w:shd w:val="clear" w:color="auto" w:fill="FFFFFF"/>
        </w:rPr>
        <w:t xml:space="preserve"> </w:t>
      </w:r>
    </w:p>
    <w:p w14:paraId="0C1ECD5B" w14:textId="44A803D5" w:rsidR="0092214C" w:rsidRPr="006E0231" w:rsidRDefault="45E2F14D" w:rsidP="16194CFB">
      <w:pPr>
        <w:spacing w:before="120"/>
        <w:jc w:val="both"/>
        <w:rPr>
          <w:rFonts w:asciiTheme="minorHAnsi" w:hAnsiTheme="minorHAnsi" w:cstheme="minorBidi"/>
          <w:b/>
          <w:bCs/>
          <w:color w:val="000000" w:themeColor="text1"/>
          <w:shd w:val="clear" w:color="auto" w:fill="FFFFFF"/>
        </w:rPr>
      </w:pPr>
      <w:r w:rsidRPr="16194CFB">
        <w:rPr>
          <w:rFonts w:asciiTheme="minorHAnsi" w:hAnsiTheme="minorHAnsi" w:cstheme="minorBidi"/>
          <w:b/>
          <w:bCs/>
          <w:color w:val="000000" w:themeColor="text1"/>
          <w:shd w:val="clear" w:color="auto" w:fill="FFFFFF"/>
        </w:rPr>
        <w:t xml:space="preserve">DCAS </w:t>
      </w:r>
      <w:r w:rsidR="0092214C" w:rsidRPr="16194CFB">
        <w:rPr>
          <w:rFonts w:asciiTheme="minorHAnsi" w:hAnsiTheme="minorHAnsi" w:cstheme="minorBidi"/>
          <w:b/>
          <w:bCs/>
          <w:color w:val="000000" w:themeColor="text1"/>
          <w:shd w:val="clear" w:color="auto" w:fill="FFFFFF"/>
        </w:rPr>
        <w:t>New Needs</w:t>
      </w:r>
    </w:p>
    <w:p w14:paraId="28E6212D" w14:textId="1F8296D1" w:rsidR="0092214C"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100 Church Street Lease. </w:t>
      </w:r>
      <w:r w:rsidR="008D0506" w:rsidRPr="006E0231">
        <w:rPr>
          <w:rFonts w:asciiTheme="minorHAnsi" w:hAnsiTheme="minorHAnsi" w:cstheme="minorHAnsi"/>
          <w:color w:val="000000" w:themeColor="text1"/>
        </w:rPr>
        <w:t>The Fiscal 2022 Executive Budget includes new needs of $87,300 in Fiscal 2021</w:t>
      </w:r>
      <w:r w:rsidR="006E7483" w:rsidRPr="006E0231">
        <w:rPr>
          <w:rFonts w:asciiTheme="minorHAnsi" w:hAnsiTheme="minorHAnsi" w:cstheme="minorHAnsi"/>
          <w:color w:val="000000" w:themeColor="text1"/>
        </w:rPr>
        <w:t>, $945,192 in Fiscal 2022, and</w:t>
      </w:r>
      <w:r w:rsidR="008D0506" w:rsidRPr="006E0231">
        <w:rPr>
          <w:rFonts w:asciiTheme="minorHAnsi" w:hAnsiTheme="minorHAnsi" w:cstheme="minorHAnsi"/>
          <w:color w:val="000000" w:themeColor="text1"/>
        </w:rPr>
        <w:t xml:space="preserve"> baselined new needs of $115,907 beginning in Fiscal 202</w:t>
      </w:r>
      <w:r w:rsidR="006E7483" w:rsidRPr="006E0231">
        <w:rPr>
          <w:rFonts w:asciiTheme="minorHAnsi" w:hAnsiTheme="minorHAnsi" w:cstheme="minorHAnsi"/>
          <w:color w:val="000000" w:themeColor="text1"/>
        </w:rPr>
        <w:t>3</w:t>
      </w:r>
      <w:r w:rsidR="008D0506" w:rsidRPr="006E0231">
        <w:rPr>
          <w:rFonts w:asciiTheme="minorHAnsi" w:hAnsiTheme="minorHAnsi" w:cstheme="minorHAnsi"/>
          <w:color w:val="000000" w:themeColor="text1"/>
        </w:rPr>
        <w:t xml:space="preserve"> due to increased lease expenditures at the offices of the Campaign Finance Board (CFB), located at 100 Church Street. </w:t>
      </w:r>
    </w:p>
    <w:p w14:paraId="31290148" w14:textId="4A9F542D" w:rsidR="007A11E0"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City Record Email Notifications. </w:t>
      </w:r>
      <w:r w:rsidR="007A11E0" w:rsidRPr="006E0231">
        <w:rPr>
          <w:rFonts w:asciiTheme="minorHAnsi" w:hAnsiTheme="minorHAnsi" w:cstheme="minorHAnsi"/>
          <w:color w:val="000000" w:themeColor="text1"/>
        </w:rPr>
        <w:t xml:space="preserve">The Fiscal 2022 Executive Budget includes one-time new needs of $99,251 in Fiscal 2021 for costs associated with the City Record Online (CROL) system. This is a fully searchable database of notices published in the City Record </w:t>
      </w:r>
      <w:proofErr w:type="gramStart"/>
      <w:r w:rsidR="007A11E0" w:rsidRPr="006E0231">
        <w:rPr>
          <w:rFonts w:asciiTheme="minorHAnsi" w:hAnsiTheme="minorHAnsi" w:cstheme="minorHAnsi"/>
          <w:color w:val="000000" w:themeColor="text1"/>
        </w:rPr>
        <w:t>newspaper which</w:t>
      </w:r>
      <w:proofErr w:type="gramEnd"/>
      <w:r w:rsidR="007A11E0" w:rsidRPr="006E0231">
        <w:rPr>
          <w:rFonts w:asciiTheme="minorHAnsi" w:hAnsiTheme="minorHAnsi" w:cstheme="minorHAnsi"/>
          <w:color w:val="000000" w:themeColor="text1"/>
        </w:rPr>
        <w:t xml:space="preserve"> includes, but is not limited to, public hearings and meetings, public auctions and sales, solicitations and rewards, and official rules proposes and adopted by City agencies, among other uses.</w:t>
      </w:r>
    </w:p>
    <w:p w14:paraId="45BDF881" w14:textId="5E656BBB" w:rsidR="008D0506"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Façade Projects. </w:t>
      </w:r>
      <w:r w:rsidR="008D0506" w:rsidRPr="006E0231">
        <w:rPr>
          <w:rFonts w:asciiTheme="minorHAnsi" w:hAnsiTheme="minorHAnsi" w:cstheme="minorHAnsi"/>
          <w:color w:val="000000" w:themeColor="text1"/>
        </w:rPr>
        <w:t xml:space="preserve">The Fiscal 2022 Executive Budget includes new needs of $174,000 in Fiscal 2021, $3.6 million in Fiscal 2022, $1.1 million in Fiscal 2023, $1.5 million in Fiscal 2024, and $1 million in Fiscal 2025. This funding is associated with DCAS’ work to provide maintenance of facades of different city-owned buildings across the City. </w:t>
      </w:r>
    </w:p>
    <w:p w14:paraId="7ED35093" w14:textId="296F77C7" w:rsidR="00E96C46"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Fleet Initiatives. </w:t>
      </w:r>
      <w:r w:rsidR="00E96C46" w:rsidRPr="006E0231">
        <w:rPr>
          <w:rFonts w:asciiTheme="minorHAnsi" w:hAnsiTheme="minorHAnsi" w:cstheme="minorHAnsi"/>
          <w:color w:val="000000" w:themeColor="text1"/>
        </w:rPr>
        <w:t xml:space="preserve">The Fiscal 2022 Executive Budget includes new needs of $78,000 in Fiscal 2021, $832,673 in Fiscal 2022, $88,033 in Fiscal 2023, and baselines $97,033 beginning in Fiscal 2024 for the installation of side guard installations on citywide sanitation trucks, which complies with local law 56 of 2015. </w:t>
      </w:r>
    </w:p>
    <w:p w14:paraId="6C5B62FA" w14:textId="117C24BE" w:rsidR="0092214C" w:rsidRPr="006E0231" w:rsidRDefault="006E7483"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WEX Gas Program. </w:t>
      </w:r>
      <w:r w:rsidRPr="006E0231">
        <w:rPr>
          <w:rFonts w:asciiTheme="minorHAnsi" w:hAnsiTheme="minorHAnsi" w:cstheme="minorHAnsi"/>
          <w:color w:val="000000" w:themeColor="text1"/>
        </w:rPr>
        <w:t xml:space="preserve">The Fiscal 2022 Executive Budget includes one-time new needs of $33,000 in Fiscal 2022 for additional expenses associated with the citywide vehicle WEX gas program. </w:t>
      </w:r>
    </w:p>
    <w:p w14:paraId="014AEC44" w14:textId="424A64E9" w:rsidR="00E96C46"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Information Technology (IT) Projects. </w:t>
      </w:r>
      <w:r w:rsidR="00E96C46" w:rsidRPr="006E0231">
        <w:rPr>
          <w:rFonts w:asciiTheme="minorHAnsi" w:hAnsiTheme="minorHAnsi" w:cstheme="minorHAnsi"/>
          <w:color w:val="000000" w:themeColor="text1"/>
        </w:rPr>
        <w:t xml:space="preserve">The Fiscal 2022 Executive Budget includes new needs of $50,000 in Fiscal 2021, $1.6 million in Fiscal 2022, $1.5 million in Fiscal 2023, and baselines $1.1 million beginning in Fiscal 2024 for capitally ineligible costs associated with DCAS IT capital projects. These include funding for a new real estate management system to better track the use of city office space, a new learning management system to build out citywide worker trainings, and updates to the City’s NYCAP system. </w:t>
      </w:r>
    </w:p>
    <w:p w14:paraId="1F076B8B" w14:textId="222E7A92" w:rsidR="008D0506" w:rsidRPr="006E0231" w:rsidRDefault="0092214C" w:rsidP="00A46DC0">
      <w:pPr>
        <w:pStyle w:val="ListParagraph"/>
        <w:numPr>
          <w:ilvl w:val="0"/>
          <w:numId w:val="1"/>
        </w:numPr>
        <w:spacing w:before="120" w:after="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Life Safety Needs. </w:t>
      </w:r>
      <w:r w:rsidR="008D0506" w:rsidRPr="16194CFB">
        <w:rPr>
          <w:rFonts w:asciiTheme="minorHAnsi" w:hAnsiTheme="minorHAnsi" w:cstheme="minorBidi"/>
          <w:color w:val="000000" w:themeColor="text1"/>
        </w:rPr>
        <w:t xml:space="preserve">The Fiscal 2022 Executive Budget includes new needs of $876,000 in Fiscal 2021, $872,000 in Fiscal 2022, and baselined new needs of $22,000 beginning in </w:t>
      </w:r>
      <w:r w:rsidR="008D0506" w:rsidRPr="16194CFB">
        <w:rPr>
          <w:rFonts w:asciiTheme="minorHAnsi" w:hAnsiTheme="minorHAnsi" w:cstheme="minorBidi"/>
          <w:color w:val="000000" w:themeColor="text1"/>
        </w:rPr>
        <w:lastRenderedPageBreak/>
        <w:t xml:space="preserve">Fiscal 2023. This funding </w:t>
      </w:r>
      <w:proofErr w:type="gramStart"/>
      <w:r w:rsidR="008D0506" w:rsidRPr="16194CFB">
        <w:rPr>
          <w:rFonts w:asciiTheme="minorHAnsi" w:hAnsiTheme="minorHAnsi" w:cstheme="minorBidi"/>
          <w:color w:val="000000" w:themeColor="text1"/>
        </w:rPr>
        <w:t>has been allocated</w:t>
      </w:r>
      <w:proofErr w:type="gramEnd"/>
      <w:r w:rsidR="008D0506" w:rsidRPr="16194CFB">
        <w:rPr>
          <w:rFonts w:asciiTheme="minorHAnsi" w:hAnsiTheme="minorHAnsi" w:cstheme="minorBidi"/>
          <w:color w:val="000000" w:themeColor="text1"/>
        </w:rPr>
        <w:t xml:space="preserve"> to provide additional funding </w:t>
      </w:r>
      <w:r w:rsidR="0FF899C6" w:rsidRPr="16194CFB">
        <w:rPr>
          <w:rFonts w:asciiTheme="minorHAnsi" w:hAnsiTheme="minorHAnsi" w:cstheme="minorBidi"/>
          <w:color w:val="000000" w:themeColor="text1"/>
        </w:rPr>
        <w:t xml:space="preserve">for the security of façade design work across the City. </w:t>
      </w:r>
    </w:p>
    <w:p w14:paraId="214F78A8" w14:textId="1027BF98" w:rsidR="00E96C46"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proofErr w:type="gramStart"/>
      <w:r w:rsidRPr="006E0231">
        <w:rPr>
          <w:rFonts w:asciiTheme="minorHAnsi" w:hAnsiTheme="minorHAnsi" w:cstheme="minorHAnsi"/>
          <w:b/>
          <w:bCs/>
          <w:color w:val="000000" w:themeColor="text1"/>
        </w:rPr>
        <w:t>Mayor’s</w:t>
      </w:r>
      <w:proofErr w:type="gramEnd"/>
      <w:r w:rsidRPr="006E0231">
        <w:rPr>
          <w:rFonts w:asciiTheme="minorHAnsi" w:hAnsiTheme="minorHAnsi" w:cstheme="minorHAnsi"/>
          <w:b/>
          <w:bCs/>
          <w:color w:val="000000" w:themeColor="text1"/>
        </w:rPr>
        <w:t xml:space="preserve"> Office of Resiliency Funding. </w:t>
      </w:r>
      <w:r w:rsidR="00E96C46" w:rsidRPr="006E0231">
        <w:rPr>
          <w:rFonts w:asciiTheme="minorHAnsi" w:hAnsiTheme="minorHAnsi" w:cstheme="minorHAnsi"/>
          <w:color w:val="000000" w:themeColor="text1"/>
        </w:rPr>
        <w:t xml:space="preserve">The Fiscal 2022 Executive Budget includes baselined new needs of $3.1 million beginning in Fiscal 2023, along with 27 positions for the Mayor’s Office of Resiliency (MOR). </w:t>
      </w:r>
      <w:proofErr w:type="gramStart"/>
      <w:r w:rsidR="00E96C46" w:rsidRPr="006E0231">
        <w:rPr>
          <w:rFonts w:asciiTheme="minorHAnsi" w:hAnsiTheme="minorHAnsi" w:cstheme="minorHAnsi"/>
          <w:color w:val="000000" w:themeColor="text1"/>
        </w:rPr>
        <w:t>Due to the fact that</w:t>
      </w:r>
      <w:proofErr w:type="gramEnd"/>
      <w:r w:rsidR="00E96C46" w:rsidRPr="006E0231">
        <w:rPr>
          <w:rFonts w:asciiTheme="minorHAnsi" w:hAnsiTheme="minorHAnsi" w:cstheme="minorHAnsi"/>
          <w:color w:val="000000" w:themeColor="text1"/>
        </w:rPr>
        <w:t xml:space="preserve"> part of the MOR currently operates with Community Development Block Grant (CDBG) funding, this is set to expire at the end of 2022. This new need helps ensure the continuation of the work done by the MOR with City funding beginning in Fiscal 2023. </w:t>
      </w:r>
    </w:p>
    <w:p w14:paraId="46D105D4" w14:textId="6D8DA17E" w:rsidR="008D0506"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MS-4 Permit Costs. </w:t>
      </w:r>
      <w:r w:rsidR="008D0506" w:rsidRPr="006E0231">
        <w:rPr>
          <w:rFonts w:asciiTheme="minorHAnsi" w:hAnsiTheme="minorHAnsi" w:cstheme="minorHAnsi"/>
          <w:color w:val="000000" w:themeColor="text1"/>
        </w:rPr>
        <w:t xml:space="preserve">The Fiscal 2022 Executive Budget includes new needs of $41,000 in Fiscal 2021 and $541,580 in Fiscal 2022 for additional permit costs associated with the Municipal Separate Storm Sewer System (MS4). This permit is required under the Clean Water Act and </w:t>
      </w:r>
      <w:proofErr w:type="gramStart"/>
      <w:r w:rsidR="008D0506" w:rsidRPr="006E0231">
        <w:rPr>
          <w:rFonts w:asciiTheme="minorHAnsi" w:hAnsiTheme="minorHAnsi" w:cstheme="minorHAnsi"/>
          <w:color w:val="000000" w:themeColor="text1"/>
        </w:rPr>
        <w:t>is issued</w:t>
      </w:r>
      <w:proofErr w:type="gramEnd"/>
      <w:r w:rsidR="008D0506" w:rsidRPr="006E0231">
        <w:rPr>
          <w:rFonts w:asciiTheme="minorHAnsi" w:hAnsiTheme="minorHAnsi" w:cstheme="minorHAnsi"/>
          <w:color w:val="000000" w:themeColor="text1"/>
        </w:rPr>
        <w:t xml:space="preserve"> by the New York State Department of Environmental Conservation (DEC). MS4 allows the City to implement measures to reduce pollution in </w:t>
      </w:r>
      <w:proofErr w:type="spellStart"/>
      <w:r w:rsidR="008D0506" w:rsidRPr="006E0231">
        <w:rPr>
          <w:rFonts w:asciiTheme="minorHAnsi" w:hAnsiTheme="minorHAnsi" w:cstheme="minorHAnsi"/>
          <w:color w:val="000000" w:themeColor="text1"/>
        </w:rPr>
        <w:t>stormwater</w:t>
      </w:r>
      <w:proofErr w:type="spellEnd"/>
      <w:r w:rsidR="008D0506" w:rsidRPr="006E0231">
        <w:rPr>
          <w:rFonts w:asciiTheme="minorHAnsi" w:hAnsiTheme="minorHAnsi" w:cstheme="minorHAnsi"/>
          <w:color w:val="000000" w:themeColor="text1"/>
        </w:rPr>
        <w:t xml:space="preserve"> runoff. </w:t>
      </w:r>
    </w:p>
    <w:p w14:paraId="58DC6F5D" w14:textId="1F5A515C" w:rsidR="008D0506" w:rsidRPr="006E0231" w:rsidRDefault="0092214C" w:rsidP="00A46DC0">
      <w:pPr>
        <w:pStyle w:val="ListParagraph"/>
        <w:numPr>
          <w:ilvl w:val="0"/>
          <w:numId w:val="1"/>
        </w:numPr>
        <w:spacing w:before="120" w:after="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New York Panel on Climate Change. </w:t>
      </w:r>
      <w:r w:rsidR="008D0506" w:rsidRPr="16194CFB">
        <w:rPr>
          <w:rFonts w:asciiTheme="minorHAnsi" w:hAnsiTheme="minorHAnsi" w:cstheme="minorBidi"/>
          <w:color w:val="000000" w:themeColor="text1"/>
        </w:rPr>
        <w:t xml:space="preserve">The Fiscal 2022 Executive Budget includes new needs of $187,170 in Fiscal 2022 and $367,170 in Fiscal 2023 for the fourth New York Panel on Climate Change (NPCC), convened by Mayor de </w:t>
      </w:r>
      <w:proofErr w:type="spellStart"/>
      <w:r w:rsidR="008D0506" w:rsidRPr="16194CFB">
        <w:rPr>
          <w:rFonts w:asciiTheme="minorHAnsi" w:hAnsiTheme="minorHAnsi" w:cstheme="minorBidi"/>
          <w:color w:val="000000" w:themeColor="text1"/>
        </w:rPr>
        <w:t>Blasio</w:t>
      </w:r>
      <w:proofErr w:type="spellEnd"/>
      <w:r w:rsidR="008D0506" w:rsidRPr="16194CFB">
        <w:rPr>
          <w:rFonts w:asciiTheme="minorHAnsi" w:hAnsiTheme="minorHAnsi" w:cstheme="minorBidi"/>
          <w:color w:val="000000" w:themeColor="text1"/>
        </w:rPr>
        <w:t xml:space="preserve"> in June of 2020. This </w:t>
      </w:r>
      <w:proofErr w:type="gramStart"/>
      <w:r w:rsidR="008D0506" w:rsidRPr="16194CFB">
        <w:rPr>
          <w:rFonts w:asciiTheme="minorHAnsi" w:hAnsiTheme="minorHAnsi" w:cstheme="minorBidi"/>
          <w:color w:val="000000" w:themeColor="text1"/>
        </w:rPr>
        <w:t>is a 20-member independent advisory body that</w:t>
      </w:r>
      <w:proofErr w:type="gramEnd"/>
      <w:r w:rsidR="008D0506" w:rsidRPr="16194CFB">
        <w:rPr>
          <w:rFonts w:asciiTheme="minorHAnsi" w:hAnsiTheme="minorHAnsi" w:cstheme="minorBidi"/>
          <w:color w:val="000000" w:themeColor="text1"/>
        </w:rPr>
        <w:t xml:space="preserve"> synthesizes scientific information on climate change and advises City policymakers on local resiliency and adaptation strategies to protect against rising temperatures, increased flooding, </w:t>
      </w:r>
      <w:r w:rsidR="448264E6" w:rsidRPr="16194CFB">
        <w:rPr>
          <w:rFonts w:asciiTheme="minorHAnsi" w:hAnsiTheme="minorHAnsi" w:cstheme="minorBidi"/>
          <w:color w:val="000000" w:themeColor="text1"/>
        </w:rPr>
        <w:t>and</w:t>
      </w:r>
      <w:r w:rsidR="008D0506" w:rsidRPr="16194CFB">
        <w:rPr>
          <w:rFonts w:asciiTheme="minorHAnsi" w:hAnsiTheme="minorHAnsi" w:cstheme="minorBidi"/>
          <w:color w:val="000000" w:themeColor="text1"/>
        </w:rPr>
        <w:t xml:space="preserve"> other hazards. </w:t>
      </w:r>
    </w:p>
    <w:p w14:paraId="33A07E4B" w14:textId="0ABB9ED8" w:rsidR="00E96C46"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On-Call Emergency Contracts. </w:t>
      </w:r>
      <w:r w:rsidR="00E96C46" w:rsidRPr="006E0231">
        <w:rPr>
          <w:rFonts w:asciiTheme="minorHAnsi" w:hAnsiTheme="minorHAnsi" w:cstheme="minorHAnsi"/>
          <w:color w:val="000000" w:themeColor="text1"/>
        </w:rPr>
        <w:t xml:space="preserve">The Fiscal 2022 Executive Budget includes new needs of $100,000 in Fiscal 2021, $340,000 in Fiscal 2022, and baselines $40,000 beginning in Fiscal 2023 for on-call emergency disaster-related contracts. </w:t>
      </w:r>
    </w:p>
    <w:p w14:paraId="0E30DF34" w14:textId="63D70168" w:rsidR="0092214C"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Prevailing Wage Increases. </w:t>
      </w:r>
      <w:r w:rsidR="00A16B88" w:rsidRPr="006E0231">
        <w:rPr>
          <w:rFonts w:asciiTheme="minorHAnsi" w:hAnsiTheme="minorHAnsi" w:cstheme="minorHAnsi"/>
          <w:color w:val="000000" w:themeColor="text1"/>
        </w:rPr>
        <w:t xml:space="preserve">The Fiscal 2022 Executive Budget includes one-time new needs of $909,000 in Fiscal 2021 due to wage increases in the current fiscal year for the DCAS Security Team, housed in the Department’s Division of Administration and Security. </w:t>
      </w:r>
    </w:p>
    <w:p w14:paraId="6157CFEE" w14:textId="77E62B64" w:rsidR="008D0506"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Space Measurement. </w:t>
      </w:r>
      <w:r w:rsidR="008D0506" w:rsidRPr="006E0231">
        <w:rPr>
          <w:rFonts w:asciiTheme="minorHAnsi" w:hAnsiTheme="minorHAnsi" w:cstheme="minorHAnsi"/>
          <w:color w:val="000000" w:themeColor="text1"/>
        </w:rPr>
        <w:t xml:space="preserve">The Fiscal 2022 Executive Budget includes one-time new needs of $2 million in Fiscal 2022 for the Space Measurement Program. This adds funding to the program that would establish a more thorough review process of all City agencies’ present and future space requests, with the aim of using the spaces owned by the City and rents in a more efficiency and cost-effective manner. </w:t>
      </w:r>
    </w:p>
    <w:p w14:paraId="15FBB7EB" w14:textId="6E7C18B5" w:rsidR="0092214C" w:rsidRPr="006E0231" w:rsidRDefault="0092214C" w:rsidP="00A46DC0">
      <w:pPr>
        <w:pStyle w:val="ListParagraph"/>
        <w:numPr>
          <w:ilvl w:val="0"/>
          <w:numId w:val="1"/>
        </w:numPr>
        <w:spacing w:before="120" w:after="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Telematics Installations. </w:t>
      </w:r>
      <w:proofErr w:type="gramStart"/>
      <w:r w:rsidR="00E96C46" w:rsidRPr="006E0231">
        <w:rPr>
          <w:rFonts w:asciiTheme="minorHAnsi" w:hAnsiTheme="minorHAnsi" w:cstheme="minorHAnsi"/>
          <w:color w:val="000000" w:themeColor="text1"/>
        </w:rPr>
        <w:t>The Fiscal 2022 Executive Budget includes new needs of $214,000 in Fiscal 2021, $612,000 in Fiscal 2022, and baselines $546,000 beginning in Fiscal 2023, primarily for the installation of Geographic Information Tracking Systems (GITS) on school safety vehicles, as they are being transferred from the New York City Police Department’s (NYPD) GIT system to the Department of Education (DOE) GIT system.</w:t>
      </w:r>
      <w:proofErr w:type="gramEnd"/>
      <w:r w:rsidR="00E96C46" w:rsidRPr="006E0231">
        <w:rPr>
          <w:rFonts w:asciiTheme="minorHAnsi" w:hAnsiTheme="minorHAnsi" w:cstheme="minorHAnsi"/>
          <w:color w:val="000000" w:themeColor="text1"/>
        </w:rPr>
        <w:t xml:space="preserve"> </w:t>
      </w:r>
    </w:p>
    <w:p w14:paraId="191529CC" w14:textId="4BA9880B" w:rsidR="0092214C" w:rsidRPr="006E0231" w:rsidRDefault="52FA5FE4" w:rsidP="16194CFB">
      <w:pPr>
        <w:spacing w:before="120"/>
        <w:jc w:val="both"/>
        <w:rPr>
          <w:rFonts w:asciiTheme="minorHAnsi" w:hAnsiTheme="minorHAnsi" w:cstheme="minorBidi"/>
          <w:b/>
          <w:bCs/>
          <w:color w:val="000000" w:themeColor="text1"/>
          <w:shd w:val="clear" w:color="auto" w:fill="FFFFFF"/>
        </w:rPr>
      </w:pPr>
      <w:r w:rsidRPr="16194CFB">
        <w:rPr>
          <w:rFonts w:asciiTheme="minorHAnsi" w:hAnsiTheme="minorHAnsi" w:cstheme="minorBidi"/>
          <w:b/>
          <w:bCs/>
          <w:color w:val="000000" w:themeColor="text1"/>
          <w:shd w:val="clear" w:color="auto" w:fill="FFFFFF"/>
        </w:rPr>
        <w:t xml:space="preserve">DCAS </w:t>
      </w:r>
      <w:r w:rsidR="0092214C" w:rsidRPr="16194CFB">
        <w:rPr>
          <w:rFonts w:asciiTheme="minorHAnsi" w:hAnsiTheme="minorHAnsi" w:cstheme="minorBidi"/>
          <w:b/>
          <w:bCs/>
          <w:color w:val="000000" w:themeColor="text1"/>
          <w:shd w:val="clear" w:color="auto" w:fill="FFFFFF"/>
        </w:rPr>
        <w:t>Other Adjustments</w:t>
      </w:r>
    </w:p>
    <w:p w14:paraId="2E27F8EA" w14:textId="1A71B41C" w:rsidR="00982F8A" w:rsidRPr="006E0231" w:rsidRDefault="00982F8A" w:rsidP="00A46DC0">
      <w:pPr>
        <w:pStyle w:val="ListParagraph"/>
        <w:numPr>
          <w:ilvl w:val="0"/>
          <w:numId w:val="9"/>
        </w:numPr>
        <w:spacing w:before="120"/>
        <w:contextualSpacing w:val="0"/>
        <w:jc w:val="both"/>
        <w:rPr>
          <w:rFonts w:asciiTheme="minorHAnsi" w:hAnsiTheme="minorHAnsi" w:cstheme="minorHAnsi"/>
          <w:b/>
          <w:bCs/>
          <w:color w:val="000000" w:themeColor="text1"/>
          <w:shd w:val="clear" w:color="auto" w:fill="FFFFFF"/>
        </w:rPr>
      </w:pPr>
      <w:r w:rsidRPr="006E0231">
        <w:rPr>
          <w:rFonts w:asciiTheme="minorHAnsi" w:hAnsiTheme="minorHAnsi" w:cstheme="minorHAnsi"/>
          <w:b/>
          <w:bCs/>
          <w:color w:val="000000" w:themeColor="text1"/>
          <w:shd w:val="clear" w:color="auto" w:fill="FFFFFF"/>
        </w:rPr>
        <w:t xml:space="preserve">Collective Bargaining. </w:t>
      </w:r>
      <w:r w:rsidRPr="006E0231">
        <w:rPr>
          <w:rFonts w:asciiTheme="minorHAnsi" w:hAnsiTheme="minorHAnsi" w:cstheme="minorHAnsi"/>
          <w:color w:val="000000" w:themeColor="text1"/>
          <w:shd w:val="clear" w:color="auto" w:fill="FFFFFF"/>
        </w:rPr>
        <w:t xml:space="preserve">The Fiscal 2022 Executive Budget includes baselined other adjustments of $73,471 beginning in Fiscal 2021 to address collective bargaining issues at </w:t>
      </w:r>
      <w:r w:rsidRPr="006E0231">
        <w:rPr>
          <w:rFonts w:asciiTheme="minorHAnsi" w:hAnsiTheme="minorHAnsi" w:cstheme="minorHAnsi"/>
          <w:color w:val="000000" w:themeColor="text1"/>
          <w:shd w:val="clear" w:color="auto" w:fill="FFFFFF"/>
        </w:rPr>
        <w:lastRenderedPageBreak/>
        <w:t xml:space="preserve">the agency. This includes motor vehicle operators, DC-37 workers, </w:t>
      </w:r>
      <w:proofErr w:type="gramStart"/>
      <w:r w:rsidRPr="006E0231">
        <w:rPr>
          <w:rFonts w:asciiTheme="minorHAnsi" w:hAnsiTheme="minorHAnsi" w:cstheme="minorHAnsi"/>
          <w:color w:val="000000" w:themeColor="text1"/>
          <w:shd w:val="clear" w:color="auto" w:fill="FFFFFF"/>
        </w:rPr>
        <w:t>supervisory</w:t>
      </w:r>
      <w:proofErr w:type="gramEnd"/>
      <w:r w:rsidRPr="006E0231">
        <w:rPr>
          <w:rFonts w:asciiTheme="minorHAnsi" w:hAnsiTheme="minorHAnsi" w:cstheme="minorHAnsi"/>
          <w:color w:val="000000" w:themeColor="text1"/>
          <w:shd w:val="clear" w:color="auto" w:fill="FFFFFF"/>
        </w:rPr>
        <w:t xml:space="preserve"> maintenance workers, among others. </w:t>
      </w:r>
    </w:p>
    <w:p w14:paraId="17174528" w14:textId="71167D14" w:rsidR="00982F8A" w:rsidRPr="006E0231" w:rsidRDefault="00982F8A" w:rsidP="00A46DC0">
      <w:pPr>
        <w:pStyle w:val="ListParagraph"/>
        <w:numPr>
          <w:ilvl w:val="0"/>
          <w:numId w:val="9"/>
        </w:numPr>
        <w:spacing w:before="120"/>
        <w:contextualSpacing w:val="0"/>
        <w:jc w:val="both"/>
        <w:rPr>
          <w:rFonts w:asciiTheme="minorHAnsi" w:hAnsiTheme="minorHAnsi" w:cstheme="minorHAnsi"/>
          <w:b/>
          <w:bCs/>
          <w:color w:val="000000" w:themeColor="text1"/>
          <w:shd w:val="clear" w:color="auto" w:fill="FFFFFF"/>
        </w:rPr>
      </w:pPr>
      <w:r w:rsidRPr="006E0231">
        <w:rPr>
          <w:rFonts w:asciiTheme="minorHAnsi" w:hAnsiTheme="minorHAnsi" w:cstheme="minorHAnsi"/>
          <w:b/>
          <w:bCs/>
          <w:color w:val="000000" w:themeColor="text1"/>
          <w:shd w:val="clear" w:color="auto" w:fill="FFFFFF"/>
        </w:rPr>
        <w:t xml:space="preserve">Enhanced Bidding. </w:t>
      </w:r>
      <w:r w:rsidRPr="006E0231">
        <w:rPr>
          <w:rFonts w:asciiTheme="minorHAnsi" w:hAnsiTheme="minorHAnsi" w:cstheme="minorHAnsi"/>
          <w:color w:val="000000" w:themeColor="text1"/>
          <w:shd w:val="clear" w:color="auto" w:fill="FFFFFF"/>
        </w:rPr>
        <w:t xml:space="preserve">The Fiscal 2022 Executive Budget includes $2.5 million in Fiscal 2021 and projected savings of $7.5 million in Fiscal 2022 for enhanced bidding. The City is attempting to conduct a real-time bidding module, in which companies that bid for a contract will be able to see their individual rankings. </w:t>
      </w:r>
      <w:r w:rsidR="004E2D24" w:rsidRPr="006E0231">
        <w:rPr>
          <w:rFonts w:asciiTheme="minorHAnsi" w:hAnsiTheme="minorHAnsi" w:cstheme="minorHAnsi"/>
          <w:color w:val="000000" w:themeColor="text1"/>
          <w:shd w:val="clear" w:color="auto" w:fill="FFFFFF"/>
        </w:rPr>
        <w:t xml:space="preserve">This adjustment reflects that the City will realize these savings in Fiscal 2022, rather than in Fiscal 2021. </w:t>
      </w:r>
    </w:p>
    <w:p w14:paraId="6142C261" w14:textId="1494B8D3" w:rsidR="00982F8A" w:rsidRPr="006E0231" w:rsidRDefault="00982F8A" w:rsidP="00A46DC0">
      <w:pPr>
        <w:pStyle w:val="ListParagraph"/>
        <w:numPr>
          <w:ilvl w:val="0"/>
          <w:numId w:val="1"/>
        </w:numPr>
        <w:spacing w:before="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shd w:val="clear" w:color="auto" w:fill="FFFFFF"/>
        </w:rPr>
        <w:t xml:space="preserve">Enhanced Space Management. </w:t>
      </w:r>
      <w:r w:rsidRPr="006E0231">
        <w:rPr>
          <w:rFonts w:asciiTheme="minorHAnsi" w:hAnsiTheme="minorHAnsi" w:cstheme="minorHAnsi"/>
          <w:color w:val="000000" w:themeColor="text1"/>
          <w:shd w:val="clear" w:color="auto" w:fill="FFFFFF"/>
        </w:rPr>
        <w:t xml:space="preserve">The Fiscal 2022 Executive Budget includes an increase of $1.1 million in Fiscal 2021, projected savings of $4 million in Fiscal 2022, and projected baselined savings of $262,002 beginning in Fiscal 2023 for enhanced space management. </w:t>
      </w:r>
      <w:r w:rsidRPr="006E0231">
        <w:rPr>
          <w:rFonts w:asciiTheme="minorHAnsi" w:hAnsiTheme="minorHAnsi" w:cstheme="minorHAnsi"/>
          <w:color w:val="000000" w:themeColor="text1"/>
        </w:rPr>
        <w:t xml:space="preserve">This </w:t>
      </w:r>
      <w:proofErr w:type="gramStart"/>
      <w:r w:rsidRPr="006E0231">
        <w:rPr>
          <w:rFonts w:asciiTheme="minorHAnsi" w:hAnsiTheme="minorHAnsi" w:cstheme="minorHAnsi"/>
          <w:color w:val="000000" w:themeColor="text1"/>
        </w:rPr>
        <w:t>is related</w:t>
      </w:r>
      <w:proofErr w:type="gramEnd"/>
      <w:r w:rsidRPr="006E0231">
        <w:rPr>
          <w:rFonts w:asciiTheme="minorHAnsi" w:hAnsiTheme="minorHAnsi" w:cstheme="minorHAnsi"/>
          <w:color w:val="000000" w:themeColor="text1"/>
        </w:rPr>
        <w:t xml:space="preserve"> to the Space Management program, which establishes a more thorough review process of all City agencies’ present and future space requests, with the aim of using the spaces owned by the City and rents in a more efficiency and cost-effective manner. </w:t>
      </w:r>
    </w:p>
    <w:p w14:paraId="7FCB6340" w14:textId="0A62C330" w:rsidR="00982F8A" w:rsidRPr="006E0231" w:rsidRDefault="00982F8A" w:rsidP="00A46DC0">
      <w:pPr>
        <w:pStyle w:val="ListParagraph"/>
        <w:numPr>
          <w:ilvl w:val="0"/>
          <w:numId w:val="9"/>
        </w:numPr>
        <w:spacing w:before="120"/>
        <w:contextualSpacing w:val="0"/>
        <w:jc w:val="both"/>
        <w:rPr>
          <w:rFonts w:asciiTheme="minorHAnsi" w:hAnsiTheme="minorHAnsi" w:cstheme="minorHAnsi"/>
          <w:b/>
          <w:bCs/>
          <w:color w:val="000000" w:themeColor="text1"/>
          <w:shd w:val="clear" w:color="auto" w:fill="FFFFFF"/>
        </w:rPr>
      </w:pPr>
      <w:r w:rsidRPr="006E0231">
        <w:rPr>
          <w:rFonts w:asciiTheme="minorHAnsi" w:hAnsiTheme="minorHAnsi" w:cstheme="minorHAnsi"/>
          <w:b/>
          <w:bCs/>
          <w:color w:val="000000" w:themeColor="text1"/>
        </w:rPr>
        <w:t xml:space="preserve">Heat, Light and Power (HLP). </w:t>
      </w:r>
      <w:r w:rsidRPr="006E0231">
        <w:rPr>
          <w:rFonts w:asciiTheme="minorHAnsi" w:hAnsiTheme="minorHAnsi" w:cstheme="minorHAnsi"/>
          <w:color w:val="000000" w:themeColor="text1"/>
        </w:rPr>
        <w:t xml:space="preserve">The Fiscal 2022 Executive Budget includes a reduction of $55.4 million in Fiscal 2021 and a baselined increase of $45.8 million beginning in Fiscal 2022 primarily for </w:t>
      </w:r>
      <w:proofErr w:type="spellStart"/>
      <w:r w:rsidRPr="006E0231">
        <w:rPr>
          <w:rFonts w:asciiTheme="minorHAnsi" w:hAnsiTheme="minorHAnsi" w:cstheme="minorHAnsi"/>
          <w:color w:val="000000" w:themeColor="text1"/>
        </w:rPr>
        <w:t>outyear</w:t>
      </w:r>
      <w:proofErr w:type="spellEnd"/>
      <w:r w:rsidRPr="006E0231">
        <w:rPr>
          <w:rFonts w:asciiTheme="minorHAnsi" w:hAnsiTheme="minorHAnsi" w:cstheme="minorHAnsi"/>
          <w:color w:val="000000" w:themeColor="text1"/>
        </w:rPr>
        <w:t xml:space="preserve"> adjustments that increase the citywide heat, light and power budget. It should also be noted that in the Executive Citywide Savings Program, the City is expected to generate savings of $57.8 million in Fiscal 2021, $9.1 million in Fiscal 2022, $57.6 million in Fiscal 2023, $74.2 million in Fiscal 2024, and $77.2 million in Fiscal 2025 due to re-estimates in the citywide HLP budget. </w:t>
      </w:r>
    </w:p>
    <w:p w14:paraId="09E6B8D8" w14:textId="2C0C03D1" w:rsidR="004E2D24" w:rsidRPr="006E0231" w:rsidRDefault="004E2D24" w:rsidP="00A46DC0">
      <w:pPr>
        <w:pStyle w:val="ListParagraph"/>
        <w:numPr>
          <w:ilvl w:val="0"/>
          <w:numId w:val="9"/>
        </w:numPr>
        <w:spacing w:before="120"/>
        <w:contextualSpacing w:val="0"/>
        <w:jc w:val="both"/>
        <w:rPr>
          <w:rFonts w:asciiTheme="minorHAnsi" w:hAnsiTheme="minorHAnsi" w:cstheme="minorHAnsi"/>
          <w:b/>
          <w:bCs/>
          <w:color w:val="000000" w:themeColor="text1"/>
          <w:shd w:val="clear" w:color="auto" w:fill="FFFFFF"/>
        </w:rPr>
      </w:pPr>
      <w:r w:rsidRPr="006E0231">
        <w:rPr>
          <w:rFonts w:asciiTheme="minorHAnsi" w:hAnsiTheme="minorHAnsi" w:cstheme="minorHAnsi"/>
          <w:b/>
          <w:bCs/>
          <w:color w:val="000000" w:themeColor="text1"/>
        </w:rPr>
        <w:t>Lease Adjustments.</w:t>
      </w:r>
      <w:r w:rsidRPr="006E0231">
        <w:rPr>
          <w:rFonts w:asciiTheme="minorHAnsi" w:hAnsiTheme="minorHAnsi" w:cstheme="minorHAnsi"/>
          <w:b/>
          <w:bCs/>
          <w:color w:val="000000" w:themeColor="text1"/>
          <w:shd w:val="clear" w:color="auto" w:fill="FFFFFF"/>
        </w:rPr>
        <w:t xml:space="preserve"> </w:t>
      </w:r>
      <w:r w:rsidRPr="006E0231">
        <w:rPr>
          <w:rFonts w:asciiTheme="minorHAnsi" w:hAnsiTheme="minorHAnsi" w:cstheme="minorHAnsi"/>
          <w:color w:val="000000" w:themeColor="text1"/>
          <w:shd w:val="clear" w:color="auto" w:fill="FFFFFF"/>
        </w:rPr>
        <w:t xml:space="preserve">The Fiscal 2022 Executive Budget includes an increase of $11 million in Fiscal 2021 and a baselined increase of $9.9 million beginning in Fiscal 2022 due to increased lease expenditures at DCAS facilities citywide. </w:t>
      </w:r>
    </w:p>
    <w:p w14:paraId="595CC999" w14:textId="6E8C83B6" w:rsidR="0092214C" w:rsidRPr="006E1966" w:rsidRDefault="004E2D24" w:rsidP="00A46DC0">
      <w:pPr>
        <w:pStyle w:val="ListParagraph"/>
        <w:numPr>
          <w:ilvl w:val="0"/>
          <w:numId w:val="9"/>
        </w:numPr>
        <w:spacing w:before="120"/>
        <w:contextualSpacing w:val="0"/>
        <w:jc w:val="both"/>
        <w:rPr>
          <w:rFonts w:asciiTheme="minorHAnsi" w:hAnsiTheme="minorHAnsi" w:cstheme="minorHAnsi"/>
          <w:b/>
          <w:bCs/>
          <w:color w:val="000000" w:themeColor="text1"/>
          <w:shd w:val="clear" w:color="auto" w:fill="FFFFFF"/>
        </w:rPr>
      </w:pPr>
      <w:r w:rsidRPr="006E0231">
        <w:rPr>
          <w:rFonts w:asciiTheme="minorHAnsi" w:hAnsiTheme="minorHAnsi" w:cstheme="minorHAnsi"/>
          <w:b/>
          <w:bCs/>
          <w:color w:val="000000" w:themeColor="text1"/>
        </w:rPr>
        <w:t>Lease Auditing.</w:t>
      </w:r>
      <w:r w:rsidRPr="006E0231">
        <w:rPr>
          <w:rFonts w:asciiTheme="minorHAnsi" w:hAnsiTheme="minorHAnsi" w:cstheme="minorHAnsi"/>
          <w:b/>
          <w:bCs/>
          <w:color w:val="000000" w:themeColor="text1"/>
          <w:shd w:val="clear" w:color="auto" w:fill="FFFFFF"/>
        </w:rPr>
        <w:t xml:space="preserve"> </w:t>
      </w:r>
      <w:r w:rsidRPr="006E0231">
        <w:rPr>
          <w:rFonts w:asciiTheme="minorHAnsi" w:hAnsiTheme="minorHAnsi" w:cstheme="minorHAnsi"/>
          <w:color w:val="000000" w:themeColor="text1"/>
          <w:shd w:val="clear" w:color="auto" w:fill="FFFFFF"/>
        </w:rPr>
        <w:t xml:space="preserve">The Fiscal 2022 Executive Budget includes an increase of $2.3 million in Fiscal 2021 and projected savings of $2 million in Fiscal 2022 for lease auditing. This is part of a citywide savings initiative, in which DCAS’ Real Estate Services (RES) would conduct lease </w:t>
      </w:r>
      <w:proofErr w:type="gramStart"/>
      <w:r w:rsidRPr="006E0231">
        <w:rPr>
          <w:rFonts w:asciiTheme="minorHAnsi" w:hAnsiTheme="minorHAnsi" w:cstheme="minorHAnsi"/>
          <w:color w:val="000000" w:themeColor="text1"/>
          <w:shd w:val="clear" w:color="auto" w:fill="FFFFFF"/>
        </w:rPr>
        <w:t>audits which would determine whether agencies were paying a higher amount for leases, upon which action is taken that</w:t>
      </w:r>
      <w:proofErr w:type="gramEnd"/>
      <w:r w:rsidRPr="006E0231">
        <w:rPr>
          <w:rFonts w:asciiTheme="minorHAnsi" w:hAnsiTheme="minorHAnsi" w:cstheme="minorHAnsi"/>
          <w:color w:val="000000" w:themeColor="text1"/>
          <w:shd w:val="clear" w:color="auto" w:fill="FFFFFF"/>
        </w:rPr>
        <w:t xml:space="preserve"> will result in recoupments. This adjustment reflects that the City will realize these savings in Fiscal 2022, rather than in Fiscal 2021. </w:t>
      </w:r>
    </w:p>
    <w:p w14:paraId="6BE46EDD" w14:textId="6342498B" w:rsidR="0092214C" w:rsidRPr="006E0231" w:rsidRDefault="74E353A0" w:rsidP="16194CFB">
      <w:pPr>
        <w:spacing w:before="120"/>
        <w:jc w:val="both"/>
        <w:rPr>
          <w:rFonts w:asciiTheme="minorHAnsi" w:hAnsiTheme="minorHAnsi" w:cstheme="minorBidi"/>
          <w:b/>
          <w:bCs/>
          <w:color w:val="000000" w:themeColor="text1"/>
          <w:shd w:val="clear" w:color="auto" w:fill="FFFFFF"/>
        </w:rPr>
      </w:pPr>
      <w:r w:rsidRPr="16194CFB">
        <w:rPr>
          <w:rFonts w:asciiTheme="minorHAnsi" w:hAnsiTheme="minorHAnsi" w:cstheme="minorBidi"/>
          <w:b/>
          <w:bCs/>
          <w:color w:val="000000" w:themeColor="text1"/>
          <w:shd w:val="clear" w:color="auto" w:fill="FFFFFF"/>
        </w:rPr>
        <w:t xml:space="preserve">DCAS </w:t>
      </w:r>
      <w:r w:rsidR="0092214C" w:rsidRPr="16194CFB">
        <w:rPr>
          <w:rFonts w:asciiTheme="minorHAnsi" w:hAnsiTheme="minorHAnsi" w:cstheme="minorBidi"/>
          <w:b/>
          <w:bCs/>
          <w:color w:val="000000" w:themeColor="text1"/>
          <w:shd w:val="clear" w:color="auto" w:fill="FFFFFF"/>
        </w:rPr>
        <w:t>Savings Program</w:t>
      </w:r>
    </w:p>
    <w:p w14:paraId="66B5E74A" w14:textId="13DB7C73" w:rsidR="00A23E75" w:rsidRPr="006E0231" w:rsidRDefault="00A23E75" w:rsidP="00A46DC0">
      <w:pPr>
        <w:pStyle w:val="ListParagraph"/>
        <w:numPr>
          <w:ilvl w:val="0"/>
          <w:numId w:val="2"/>
        </w:numPr>
        <w:spacing w:before="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Discretionary Funding Reduction. </w:t>
      </w:r>
      <w:r w:rsidRPr="006E0231">
        <w:rPr>
          <w:rFonts w:asciiTheme="minorHAnsi" w:hAnsiTheme="minorHAnsi" w:cstheme="minorHAnsi"/>
          <w:color w:val="000000" w:themeColor="text1"/>
        </w:rPr>
        <w:t xml:space="preserve">DCAS will generate savings of $83,000 in Fiscal 2021 and $97,000 in Fiscal 2022 through the reduction in discretionary funding allocation in the agency. </w:t>
      </w:r>
    </w:p>
    <w:p w14:paraId="7155D064" w14:textId="4087E61D" w:rsidR="00A23E75" w:rsidRPr="006E0231" w:rsidRDefault="00A23E75" w:rsidP="00A46DC0">
      <w:pPr>
        <w:pStyle w:val="ListParagraph"/>
        <w:numPr>
          <w:ilvl w:val="0"/>
          <w:numId w:val="2"/>
        </w:numPr>
        <w:spacing w:before="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Energy Management Surplus. </w:t>
      </w:r>
      <w:r w:rsidRPr="006E0231">
        <w:rPr>
          <w:rFonts w:asciiTheme="minorHAnsi" w:hAnsiTheme="minorHAnsi" w:cstheme="minorHAnsi"/>
          <w:color w:val="000000" w:themeColor="text1"/>
        </w:rPr>
        <w:t xml:space="preserve">DCAS will generate one-time savings of $7.3 million in Fiscal 2021 due to project delays in the Department’s Energy Management division. </w:t>
      </w:r>
    </w:p>
    <w:p w14:paraId="7FF3AFFA" w14:textId="576418DB" w:rsidR="00A23E75" w:rsidRPr="006E0231" w:rsidRDefault="00A23E75" w:rsidP="00A46DC0">
      <w:pPr>
        <w:pStyle w:val="ListParagraph"/>
        <w:numPr>
          <w:ilvl w:val="0"/>
          <w:numId w:val="2"/>
        </w:numPr>
        <w:spacing w:before="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Non-Public School Security Surplus. </w:t>
      </w:r>
      <w:r w:rsidRPr="006E0231">
        <w:rPr>
          <w:rFonts w:asciiTheme="minorHAnsi" w:hAnsiTheme="minorHAnsi" w:cstheme="minorHAnsi"/>
          <w:color w:val="000000" w:themeColor="text1"/>
        </w:rPr>
        <w:t xml:space="preserve">DCAS will generate one-time savings of $5 million in Fiscal 2021 through re-estimates of costs associated with the Non-Public School Security Guard Reimbursement Program. </w:t>
      </w:r>
    </w:p>
    <w:p w14:paraId="248D32A7" w14:textId="6C680274" w:rsidR="00A23E75" w:rsidRPr="006E0231" w:rsidRDefault="00A23E75" w:rsidP="00A46DC0">
      <w:pPr>
        <w:pStyle w:val="ListParagraph"/>
        <w:numPr>
          <w:ilvl w:val="0"/>
          <w:numId w:val="2"/>
        </w:numPr>
        <w:spacing w:before="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lastRenderedPageBreak/>
        <w:t xml:space="preserve">PS Savings from the Board of Standards and Appeals. </w:t>
      </w:r>
      <w:r w:rsidRPr="006E0231">
        <w:rPr>
          <w:rFonts w:asciiTheme="minorHAnsi" w:hAnsiTheme="minorHAnsi" w:cstheme="minorHAnsi"/>
          <w:color w:val="000000" w:themeColor="text1"/>
        </w:rPr>
        <w:t xml:space="preserve">DCAS will generate one-time savings of $98,000 in Fiscal 2021 due to PS-related savings at the Board of Standards and Appeals (BSA). </w:t>
      </w:r>
    </w:p>
    <w:p w14:paraId="1E258396" w14:textId="77777777" w:rsidR="00F705D7" w:rsidRDefault="00F705D7" w:rsidP="00A46DC0">
      <w:pPr>
        <w:spacing w:before="120"/>
        <w:jc w:val="both"/>
        <w:rPr>
          <w:rFonts w:asciiTheme="minorHAnsi" w:hAnsiTheme="minorHAnsi" w:cstheme="minorBidi"/>
          <w:b/>
          <w:bCs/>
          <w:color w:val="000000" w:themeColor="text1"/>
        </w:rPr>
      </w:pPr>
    </w:p>
    <w:p w14:paraId="41146354" w14:textId="14B5D127" w:rsidR="00A23E75" w:rsidRPr="006E0231" w:rsidRDefault="00A23E75" w:rsidP="00A46DC0">
      <w:pPr>
        <w:spacing w:before="120"/>
        <w:jc w:val="both"/>
        <w:rPr>
          <w:rFonts w:asciiTheme="minorHAnsi" w:hAnsiTheme="minorHAnsi" w:cstheme="minorBidi"/>
          <w:b/>
          <w:bCs/>
          <w:color w:val="000000" w:themeColor="text1"/>
        </w:rPr>
      </w:pPr>
      <w:r w:rsidRPr="006E0231">
        <w:rPr>
          <w:rFonts w:asciiTheme="minorHAnsi" w:hAnsiTheme="minorHAnsi" w:cstheme="minorBidi"/>
          <w:b/>
          <w:bCs/>
          <w:color w:val="000000" w:themeColor="text1"/>
        </w:rPr>
        <w:t>Miscellaneous Revenue</w:t>
      </w:r>
    </w:p>
    <w:p w14:paraId="320EBBF6" w14:textId="26BB3841" w:rsidR="00A23E75" w:rsidRPr="006E0231" w:rsidRDefault="00A23E75" w:rsidP="006E0231">
      <w:pPr>
        <w:jc w:val="both"/>
        <w:rPr>
          <w:rFonts w:asciiTheme="minorHAnsi" w:hAnsiTheme="minorHAnsi" w:cstheme="minorBidi"/>
          <w:color w:val="000000" w:themeColor="text1"/>
        </w:rPr>
      </w:pPr>
      <w:r w:rsidRPr="006E0231">
        <w:rPr>
          <w:rFonts w:asciiTheme="minorHAnsi" w:hAnsiTheme="minorHAnsi" w:cstheme="minorBidi"/>
          <w:color w:val="000000" w:themeColor="text1"/>
        </w:rPr>
        <w:t xml:space="preserve">DCAS’ projected miscellaneous revenue streams for Fiscal 2021 totals $64.2 million and $53.3 million for Fiscal 2022. The vast majority of miscellaneous revenue originates from commercial rents, which totals $40.3 million in Fiscal 2021 and $33.6 million in Fiscal 2022, and the salvage of vehicles and equipment, which totals $12.3 million in Fiscal 2021 and $7.9 million in Fiscal 2022. It is important to note that DCAS added a new miscellaneous stream for property sales, which </w:t>
      </w:r>
      <w:proofErr w:type="gramStart"/>
      <w:r w:rsidRPr="006E0231">
        <w:rPr>
          <w:rFonts w:asciiTheme="minorHAnsi" w:hAnsiTheme="minorHAnsi" w:cstheme="minorBidi"/>
          <w:color w:val="000000" w:themeColor="text1"/>
        </w:rPr>
        <w:t>is projected</w:t>
      </w:r>
      <w:proofErr w:type="gramEnd"/>
      <w:r w:rsidRPr="006E0231">
        <w:rPr>
          <w:rFonts w:asciiTheme="minorHAnsi" w:hAnsiTheme="minorHAnsi" w:cstheme="minorBidi"/>
          <w:color w:val="000000" w:themeColor="text1"/>
        </w:rPr>
        <w:t xml:space="preserve"> to generate savings of $1.1 million in Fiscal 2021. </w:t>
      </w:r>
    </w:p>
    <w:p w14:paraId="26E9BAC4" w14:textId="4A65071E" w:rsidR="00955254" w:rsidRPr="006E0231" w:rsidRDefault="00955254" w:rsidP="006E0231">
      <w:pPr>
        <w:spacing w:before="120"/>
        <w:jc w:val="both"/>
        <w:rPr>
          <w:rFonts w:asciiTheme="minorHAnsi" w:hAnsiTheme="minorHAnsi" w:cstheme="minorBidi"/>
          <w:b/>
          <w:bCs/>
          <w:color w:val="000000" w:themeColor="text1"/>
        </w:rPr>
      </w:pPr>
      <w:r w:rsidRPr="006E0231">
        <w:rPr>
          <w:rFonts w:asciiTheme="minorHAnsi" w:hAnsiTheme="minorHAnsi" w:cstheme="minorBidi"/>
          <w:b/>
          <w:bCs/>
          <w:color w:val="000000" w:themeColor="text1"/>
        </w:rPr>
        <w:t>DCAS Executive Capital Budget for FY21-FY25</w:t>
      </w:r>
    </w:p>
    <w:p w14:paraId="2453F0B6" w14:textId="632E27F7" w:rsidR="00955254" w:rsidRPr="006E0231" w:rsidRDefault="00955254" w:rsidP="16194CFB">
      <w:pPr>
        <w:jc w:val="both"/>
        <w:rPr>
          <w:rFonts w:asciiTheme="minorHAnsi" w:hAnsiTheme="minorHAnsi" w:cstheme="minorBidi"/>
        </w:rPr>
      </w:pPr>
      <w:r w:rsidRPr="16194CFB">
        <w:rPr>
          <w:rFonts w:asciiTheme="minorHAnsi" w:hAnsiTheme="minorHAnsi" w:cstheme="minorBidi"/>
        </w:rPr>
        <w:t xml:space="preserve">The Capital Budget provides the estimated need for appropriations for Fiscal 2020, along with projects for the subsequent three-year capital program. Appropriations represent the legal authority to spend capital dollars and are what the Council votes on at Budget Adoption. </w:t>
      </w:r>
    </w:p>
    <w:p w14:paraId="78493546" w14:textId="181DE87C" w:rsidR="00955254" w:rsidRPr="006E0231" w:rsidRDefault="00955254" w:rsidP="006E0231">
      <w:pPr>
        <w:spacing w:before="120"/>
        <w:jc w:val="both"/>
        <w:rPr>
          <w:rFonts w:asciiTheme="minorHAnsi" w:hAnsiTheme="minorHAnsi" w:cstheme="minorBidi"/>
          <w:b/>
          <w:bCs/>
          <w:color w:val="000000" w:themeColor="text1"/>
        </w:rPr>
      </w:pPr>
      <w:r w:rsidRPr="006E0231">
        <w:rPr>
          <w:rFonts w:asciiTheme="minorHAnsi" w:hAnsiTheme="minorHAnsi"/>
          <w:noProof/>
        </w:rPr>
        <w:drawing>
          <wp:inline distT="0" distB="0" distL="0" distR="0" wp14:anchorId="19974781" wp14:editId="5B9ECF84">
            <wp:extent cx="5829300" cy="2876550"/>
            <wp:effectExtent l="0" t="0" r="12700" b="6350"/>
            <wp:docPr id="2" name="Chart 2">
              <a:extLst xmlns:a="http://schemas.openxmlformats.org/drawingml/2006/main">
                <a:ext uri="{FF2B5EF4-FFF2-40B4-BE49-F238E27FC236}">
                  <a16:creationId xmlns:a16="http://schemas.microsoft.com/office/drawing/2014/main" id="{7F46FCEE-7BF5-054B-8991-2007BD065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BB6D01" w14:textId="7838C693" w:rsidR="00E96C46" w:rsidRPr="006E0231" w:rsidRDefault="00955254" w:rsidP="16194CFB">
      <w:pPr>
        <w:spacing w:before="120"/>
        <w:jc w:val="both"/>
        <w:rPr>
          <w:rFonts w:asciiTheme="minorHAnsi" w:hAnsiTheme="minorHAnsi" w:cstheme="minorBidi"/>
          <w:color w:val="000000" w:themeColor="text1"/>
        </w:rPr>
      </w:pPr>
      <w:r w:rsidRPr="16194CFB">
        <w:rPr>
          <w:rFonts w:asciiTheme="minorHAnsi" w:hAnsiTheme="minorHAnsi" w:cstheme="minorBidi"/>
          <w:color w:val="000000" w:themeColor="text1"/>
        </w:rPr>
        <w:t xml:space="preserve">As shown in the chart above, DCAS’ Fiscal 2022 Executive Capital Budget includes $4.2 billion between Fiscal 2022 through Fiscal 2025. Additionally, appropriations for Fiscal 2021 total $2.1 billion. </w:t>
      </w:r>
    </w:p>
    <w:p w14:paraId="2FDD537B" w14:textId="55B02BF1" w:rsidR="00955254" w:rsidRPr="006E0231" w:rsidRDefault="00955254" w:rsidP="16194CFB">
      <w:pPr>
        <w:spacing w:before="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DCAS Executive Capital Commitment Plan</w:t>
      </w:r>
    </w:p>
    <w:p w14:paraId="3D738AC7" w14:textId="448475EE" w:rsidR="00955254" w:rsidRPr="006E0231" w:rsidRDefault="00955254" w:rsidP="006E0231">
      <w:pPr>
        <w:spacing w:before="120"/>
        <w:jc w:val="both"/>
        <w:rPr>
          <w:rFonts w:asciiTheme="minorHAnsi" w:hAnsiTheme="minorHAnsi" w:cstheme="minorBidi"/>
          <w:color w:val="000000" w:themeColor="text1"/>
        </w:rPr>
      </w:pPr>
      <w:r w:rsidRPr="006E0231">
        <w:rPr>
          <w:rFonts w:asciiTheme="minorHAnsi" w:hAnsiTheme="minorHAnsi" w:cstheme="minorBidi"/>
          <w:color w:val="000000" w:themeColor="text1"/>
        </w:rPr>
        <w:t xml:space="preserve">The City’s Capital Commitment Plan details the Administration’s plan to spend the appropriations voted on by the City Council at Adoption. The Commitment Plan provides project-level funding detail as well as an estimate of expenditure dates. It is through this document that we gain insight into a project’s estimated cost, start date and time to completion. DCAS’ Executive Capital Commitment Plan includes $5.3 billion. This represents approximately 5.7 percent of the City’s total $93 billion Executive Capital Commitment Plan. The Capital Commitment Plan is usually higher than the Capital Budget, because it includes planned commitments for the current fiscal year. </w:t>
      </w:r>
    </w:p>
    <w:p w14:paraId="28AD0E5E" w14:textId="380F387A" w:rsidR="00955254" w:rsidRPr="006E0231" w:rsidRDefault="00955254" w:rsidP="006E0231">
      <w:pPr>
        <w:spacing w:before="120"/>
        <w:jc w:val="both"/>
        <w:rPr>
          <w:rFonts w:asciiTheme="minorHAnsi" w:hAnsiTheme="minorHAnsi" w:cstheme="minorBidi"/>
          <w:color w:val="000000" w:themeColor="text1"/>
        </w:rPr>
      </w:pPr>
      <w:r w:rsidRPr="006E0231">
        <w:rPr>
          <w:rFonts w:asciiTheme="minorHAnsi" w:hAnsiTheme="minorHAnsi"/>
          <w:noProof/>
        </w:rPr>
        <w:lastRenderedPageBreak/>
        <w:drawing>
          <wp:inline distT="0" distB="0" distL="0" distR="0" wp14:anchorId="67BA67D3" wp14:editId="736DBF78">
            <wp:extent cx="5943600" cy="2941320"/>
            <wp:effectExtent l="0" t="0" r="0" b="11430"/>
            <wp:docPr id="3" name="Chart 3">
              <a:extLst xmlns:a="http://schemas.openxmlformats.org/drawingml/2006/main">
                <a:ext uri="{FF2B5EF4-FFF2-40B4-BE49-F238E27FC236}">
                  <a16:creationId xmlns:a16="http://schemas.microsoft.com/office/drawing/2014/main" id="{45DBE040-5DAC-764D-BAF7-1DA0506E4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9CD675" w14:textId="364B7220" w:rsidR="006E0231" w:rsidRDefault="00955254" w:rsidP="16194CFB">
      <w:pPr>
        <w:spacing w:before="120"/>
        <w:jc w:val="both"/>
        <w:rPr>
          <w:rFonts w:asciiTheme="minorHAnsi" w:hAnsiTheme="minorHAnsi" w:cstheme="minorBidi"/>
          <w:color w:val="000000" w:themeColor="text1"/>
        </w:rPr>
      </w:pPr>
      <w:r w:rsidRPr="16194CFB">
        <w:rPr>
          <w:rFonts w:asciiTheme="minorHAnsi" w:hAnsiTheme="minorHAnsi" w:cstheme="minorBidi"/>
          <w:color w:val="000000" w:themeColor="text1"/>
        </w:rPr>
        <w:t xml:space="preserve">The Executive Capital Commitment Plan for the Department for Fiscal 2021-2025 has increased by $352.5 million, to a total of $5.3 billion, which represents an increase of 7.2 percent when compared to the Department’s Preliminary Capital Commitment Plan. This overall increase is primarily due to $318 million </w:t>
      </w:r>
      <w:proofErr w:type="gramStart"/>
      <w:r w:rsidR="2C2BDC9A" w:rsidRPr="16194CFB">
        <w:rPr>
          <w:rFonts w:asciiTheme="minorHAnsi" w:hAnsiTheme="minorHAnsi" w:cstheme="minorBidi"/>
          <w:color w:val="000000" w:themeColor="text1"/>
        </w:rPr>
        <w:t>being</w:t>
      </w:r>
      <w:r w:rsidRPr="16194CFB">
        <w:rPr>
          <w:rFonts w:asciiTheme="minorHAnsi" w:hAnsiTheme="minorHAnsi" w:cstheme="minorBidi"/>
          <w:color w:val="000000" w:themeColor="text1"/>
        </w:rPr>
        <w:t xml:space="preserve"> added</w:t>
      </w:r>
      <w:proofErr w:type="gramEnd"/>
      <w:r w:rsidRPr="16194CFB">
        <w:rPr>
          <w:rFonts w:asciiTheme="minorHAnsi" w:hAnsiTheme="minorHAnsi" w:cstheme="minorBidi"/>
          <w:color w:val="000000" w:themeColor="text1"/>
        </w:rPr>
        <w:t xml:space="preserve"> to the Lower Manhattan Two Bridges Special Initiative for Rebuilding and Resiliency (SIRR) project, which aims to address resiliency issues in lower Manhattan in the aftermath of Hurricane Sandy. The Capital Commitment Plan for Public Buildings increased by $113.7 million, primarily due to new projects, such as an elevator modernization project at 100 Gold Street. The Capital Commitment Plan for Real Property decreased by $3.4 million, primarily due to funding associated with waterfront properties</w:t>
      </w:r>
      <w:r w:rsidR="00EE26D6" w:rsidRPr="16194CFB">
        <w:rPr>
          <w:rFonts w:asciiTheme="minorHAnsi" w:hAnsiTheme="minorHAnsi" w:cstheme="minorBidi"/>
          <w:color w:val="000000" w:themeColor="text1"/>
        </w:rPr>
        <w:t>, the program area’s lump-sum funding line,</w:t>
      </w:r>
      <w:r w:rsidRPr="16194CFB">
        <w:rPr>
          <w:rFonts w:asciiTheme="minorHAnsi" w:hAnsiTheme="minorHAnsi" w:cstheme="minorBidi"/>
          <w:color w:val="000000" w:themeColor="text1"/>
        </w:rPr>
        <w:t xml:space="preserve"> </w:t>
      </w:r>
      <w:proofErr w:type="gramStart"/>
      <w:r w:rsidRPr="16194CFB">
        <w:rPr>
          <w:rFonts w:asciiTheme="minorHAnsi" w:hAnsiTheme="minorHAnsi" w:cstheme="minorBidi"/>
          <w:color w:val="000000" w:themeColor="text1"/>
        </w:rPr>
        <w:t>was pushed</w:t>
      </w:r>
      <w:proofErr w:type="gramEnd"/>
      <w:r w:rsidRPr="16194CFB">
        <w:rPr>
          <w:rFonts w:asciiTheme="minorHAnsi" w:hAnsiTheme="minorHAnsi" w:cstheme="minorBidi"/>
          <w:color w:val="000000" w:themeColor="text1"/>
        </w:rPr>
        <w:t xml:space="preserve"> into the </w:t>
      </w:r>
      <w:proofErr w:type="spellStart"/>
      <w:r w:rsidRPr="16194CFB">
        <w:rPr>
          <w:rFonts w:asciiTheme="minorHAnsi" w:hAnsiTheme="minorHAnsi" w:cstheme="minorBidi"/>
          <w:color w:val="000000" w:themeColor="text1"/>
        </w:rPr>
        <w:t>outyears</w:t>
      </w:r>
      <w:proofErr w:type="spellEnd"/>
      <w:r w:rsidRPr="16194CFB">
        <w:rPr>
          <w:rFonts w:asciiTheme="minorHAnsi" w:hAnsiTheme="minorHAnsi" w:cstheme="minorBidi"/>
          <w:color w:val="000000" w:themeColor="text1"/>
        </w:rPr>
        <w:t xml:space="preserve">. Lastly, the Capital Commitment Plan Energy Efficiency decreased by $168.3 million, due to funding associated with </w:t>
      </w:r>
      <w:proofErr w:type="spellStart"/>
      <w:r w:rsidRPr="16194CFB">
        <w:rPr>
          <w:rFonts w:asciiTheme="minorHAnsi" w:hAnsiTheme="minorHAnsi" w:cstheme="minorBidi"/>
          <w:color w:val="000000" w:themeColor="text1"/>
        </w:rPr>
        <w:t>OneNYC</w:t>
      </w:r>
      <w:proofErr w:type="spellEnd"/>
      <w:r w:rsidRPr="16194CFB">
        <w:rPr>
          <w:rFonts w:asciiTheme="minorHAnsi" w:hAnsiTheme="minorHAnsi" w:cstheme="minorBidi"/>
          <w:color w:val="000000" w:themeColor="text1"/>
        </w:rPr>
        <w:t xml:space="preserve"> </w:t>
      </w:r>
      <w:proofErr w:type="gramStart"/>
      <w:r w:rsidRPr="16194CFB">
        <w:rPr>
          <w:rFonts w:asciiTheme="minorHAnsi" w:hAnsiTheme="minorHAnsi" w:cstheme="minorBidi"/>
          <w:color w:val="000000" w:themeColor="text1"/>
        </w:rPr>
        <w:t>be</w:t>
      </w:r>
      <w:r w:rsidR="49B46BBA" w:rsidRPr="16194CFB">
        <w:rPr>
          <w:rFonts w:asciiTheme="minorHAnsi" w:hAnsiTheme="minorHAnsi" w:cstheme="minorBidi"/>
          <w:color w:val="000000" w:themeColor="text1"/>
        </w:rPr>
        <w:t>ing</w:t>
      </w:r>
      <w:r w:rsidRPr="16194CFB">
        <w:rPr>
          <w:rFonts w:asciiTheme="minorHAnsi" w:hAnsiTheme="minorHAnsi" w:cstheme="minorBidi"/>
          <w:color w:val="000000" w:themeColor="text1"/>
        </w:rPr>
        <w:t xml:space="preserve"> pushed</w:t>
      </w:r>
      <w:proofErr w:type="gramEnd"/>
      <w:r w:rsidRPr="16194CFB">
        <w:rPr>
          <w:rFonts w:asciiTheme="minorHAnsi" w:hAnsiTheme="minorHAnsi" w:cstheme="minorBidi"/>
          <w:color w:val="000000" w:themeColor="text1"/>
        </w:rPr>
        <w:t xml:space="preserve"> into the </w:t>
      </w:r>
      <w:proofErr w:type="spellStart"/>
      <w:r w:rsidRPr="16194CFB">
        <w:rPr>
          <w:rFonts w:asciiTheme="minorHAnsi" w:hAnsiTheme="minorHAnsi" w:cstheme="minorBidi"/>
          <w:color w:val="000000" w:themeColor="text1"/>
        </w:rPr>
        <w:t>outyears</w:t>
      </w:r>
      <w:proofErr w:type="spellEnd"/>
      <w:r w:rsidRPr="16194CFB">
        <w:rPr>
          <w:rFonts w:asciiTheme="minorHAnsi" w:hAnsiTheme="minorHAnsi" w:cstheme="minorBidi"/>
          <w:color w:val="000000" w:themeColor="text1"/>
        </w:rPr>
        <w:t xml:space="preserve">. </w:t>
      </w:r>
    </w:p>
    <w:p w14:paraId="03E1848F" w14:textId="71BE4562" w:rsidR="00A23E75" w:rsidRPr="006E0231" w:rsidRDefault="00A23E75" w:rsidP="16194CFB">
      <w:pPr>
        <w:spacing w:before="120"/>
        <w:jc w:val="both"/>
        <w:rPr>
          <w:rFonts w:asciiTheme="minorHAnsi" w:hAnsiTheme="minorHAnsi" w:cstheme="minorBidi"/>
          <w:b/>
          <w:bCs/>
          <w:color w:val="4472C4" w:themeColor="accent1"/>
          <w:sz w:val="28"/>
          <w:szCs w:val="28"/>
          <w:shd w:val="clear" w:color="auto" w:fill="FFFFFF"/>
        </w:rPr>
      </w:pPr>
      <w:r w:rsidRPr="16194CFB">
        <w:rPr>
          <w:rFonts w:asciiTheme="minorHAnsi" w:hAnsiTheme="minorHAnsi" w:cstheme="minorBidi"/>
          <w:b/>
          <w:bCs/>
          <w:color w:val="4472C4" w:themeColor="accent1"/>
          <w:sz w:val="28"/>
          <w:szCs w:val="28"/>
          <w:shd w:val="clear" w:color="auto" w:fill="FFFFFF"/>
        </w:rPr>
        <w:t>Law Department (LAW)</w:t>
      </w:r>
    </w:p>
    <w:p w14:paraId="638C23F2" w14:textId="1A84E4E8" w:rsidR="006E0231" w:rsidRDefault="00A23E75" w:rsidP="006E0231">
      <w:pPr>
        <w:spacing w:after="120"/>
        <w:jc w:val="both"/>
        <w:rPr>
          <w:rFonts w:asciiTheme="minorHAnsi" w:hAnsiTheme="minorHAnsi" w:cstheme="minorBidi"/>
          <w:color w:val="000000" w:themeColor="text1"/>
        </w:rPr>
      </w:pPr>
      <w:r w:rsidRPr="006E0231">
        <w:rPr>
          <w:rFonts w:asciiTheme="minorHAnsi" w:hAnsiTheme="minorHAnsi" w:cstheme="minorBidi"/>
          <w:color w:val="000000" w:themeColor="text1"/>
        </w:rPr>
        <w:t xml:space="preserve">The Law Department’s Fiscal 2022 budget, as of the release of the Executive Budget, totals $289.9 million, including $167.5 million in Personal Services (PS) funding to support 1,795 full-time positions, and $122.3 million in Other Than Personal Services (OTPS) funding. Below is a table detailing the Law Department’s 5-year budget as of the release of the Fiscal 2022 Executive Budget, compared to its Fiscal 2022 Preliminary </w:t>
      </w:r>
      <w:proofErr w:type="gramStart"/>
      <w:r w:rsidRPr="006E0231">
        <w:rPr>
          <w:rFonts w:asciiTheme="minorHAnsi" w:hAnsiTheme="minorHAnsi" w:cstheme="minorBidi"/>
          <w:color w:val="000000" w:themeColor="text1"/>
        </w:rPr>
        <w:t>Budget.</w:t>
      </w:r>
      <w:proofErr w:type="gramEnd"/>
      <w:r w:rsidRPr="006E0231">
        <w:rPr>
          <w:rFonts w:asciiTheme="minorHAnsi" w:hAnsiTheme="minorHAnsi" w:cstheme="minorBidi"/>
          <w:color w:val="000000" w:themeColor="text1"/>
        </w:rPr>
        <w:t xml:space="preserve"> </w:t>
      </w:r>
    </w:p>
    <w:tbl>
      <w:tblPr>
        <w:tblW w:w="8922" w:type="dxa"/>
        <w:tblLook w:val="04A0" w:firstRow="1" w:lastRow="0" w:firstColumn="1" w:lastColumn="0" w:noHBand="0" w:noVBand="1"/>
      </w:tblPr>
      <w:tblGrid>
        <w:gridCol w:w="2092"/>
        <w:gridCol w:w="1366"/>
        <w:gridCol w:w="1366"/>
        <w:gridCol w:w="1366"/>
        <w:gridCol w:w="1366"/>
        <w:gridCol w:w="1366"/>
      </w:tblGrid>
      <w:tr w:rsidR="00A23E75" w:rsidRPr="006E0231" w14:paraId="46033507" w14:textId="77777777" w:rsidTr="00A46DC0">
        <w:trPr>
          <w:trHeight w:val="20"/>
        </w:trPr>
        <w:tc>
          <w:tcPr>
            <w:tcW w:w="89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DD28D" w14:textId="77777777" w:rsidR="00A23E75" w:rsidRPr="006E0231" w:rsidRDefault="00A23E75" w:rsidP="006E0231">
            <w:pPr>
              <w:jc w:val="center"/>
              <w:rPr>
                <w:rFonts w:asciiTheme="minorHAnsi" w:hAnsiTheme="minorHAnsi" w:cs="Calibri"/>
                <w:b/>
                <w:bCs/>
                <w:color w:val="000000"/>
              </w:rPr>
            </w:pPr>
            <w:r w:rsidRPr="006E0231">
              <w:rPr>
                <w:rFonts w:asciiTheme="minorHAnsi" w:hAnsiTheme="minorHAnsi" w:cs="Calibri"/>
                <w:b/>
                <w:bCs/>
                <w:color w:val="0070C0"/>
              </w:rPr>
              <w:t>Law Department (LAW)</w:t>
            </w:r>
          </w:p>
        </w:tc>
      </w:tr>
      <w:tr w:rsidR="00A23E75" w:rsidRPr="006E0231" w14:paraId="736A3A2C" w14:textId="77777777" w:rsidTr="00A46DC0">
        <w:trPr>
          <w:trHeight w:val="2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0416242A" w14:textId="1058BC7D" w:rsidR="00A23E75" w:rsidRPr="006E0231" w:rsidRDefault="00A23E75" w:rsidP="006E0231">
            <w:pPr>
              <w:jc w:val="both"/>
              <w:rPr>
                <w:rFonts w:asciiTheme="minorHAnsi" w:hAnsiTheme="minorHAnsi" w:cs="Calibri"/>
                <w:b/>
                <w:bCs/>
                <w:i/>
                <w:iCs/>
                <w:color w:val="000000" w:themeColor="text1"/>
                <w:sz w:val="20"/>
                <w:szCs w:val="20"/>
              </w:rPr>
            </w:pPr>
            <w:r w:rsidRPr="006E0231">
              <w:rPr>
                <w:rFonts w:asciiTheme="minorHAnsi" w:hAnsiTheme="minorHAnsi" w:cs="Calibri"/>
                <w:b/>
                <w:bCs/>
                <w:i/>
                <w:iCs/>
                <w:color w:val="000000" w:themeColor="text1"/>
                <w:sz w:val="20"/>
                <w:szCs w:val="20"/>
              </w:rPr>
              <w:t> Dollars in Thousands</w:t>
            </w:r>
          </w:p>
        </w:tc>
        <w:tc>
          <w:tcPr>
            <w:tcW w:w="1366" w:type="dxa"/>
            <w:tcBorders>
              <w:top w:val="nil"/>
              <w:left w:val="nil"/>
              <w:bottom w:val="single" w:sz="4" w:space="0" w:color="auto"/>
              <w:right w:val="single" w:sz="4" w:space="0" w:color="auto"/>
            </w:tcBorders>
            <w:shd w:val="clear" w:color="auto" w:fill="auto"/>
            <w:noWrap/>
            <w:vAlign w:val="center"/>
            <w:hideMark/>
          </w:tcPr>
          <w:p w14:paraId="607611D5" w14:textId="77777777" w:rsidR="00A23E75" w:rsidRPr="006E0231" w:rsidRDefault="00A23E75" w:rsidP="00A46DC0">
            <w:pPr>
              <w:jc w:val="center"/>
              <w:rPr>
                <w:rFonts w:asciiTheme="minorHAnsi" w:hAnsiTheme="minorHAnsi" w:cs="Calibri"/>
                <w:b/>
                <w:bCs/>
                <w:color w:val="000000"/>
              </w:rPr>
            </w:pPr>
            <w:r w:rsidRPr="006E0231">
              <w:rPr>
                <w:rFonts w:asciiTheme="minorHAnsi" w:hAnsiTheme="minorHAnsi" w:cs="Calibri"/>
                <w:b/>
                <w:bCs/>
                <w:color w:val="000000"/>
              </w:rPr>
              <w:t>FY21</w:t>
            </w:r>
          </w:p>
        </w:tc>
        <w:tc>
          <w:tcPr>
            <w:tcW w:w="1366" w:type="dxa"/>
            <w:tcBorders>
              <w:top w:val="nil"/>
              <w:left w:val="nil"/>
              <w:bottom w:val="single" w:sz="4" w:space="0" w:color="auto"/>
              <w:right w:val="single" w:sz="4" w:space="0" w:color="auto"/>
            </w:tcBorders>
            <w:shd w:val="clear" w:color="auto" w:fill="auto"/>
            <w:noWrap/>
            <w:vAlign w:val="center"/>
            <w:hideMark/>
          </w:tcPr>
          <w:p w14:paraId="2C970986" w14:textId="77777777" w:rsidR="00A23E75" w:rsidRPr="006E0231" w:rsidRDefault="00A23E75" w:rsidP="00A46DC0">
            <w:pPr>
              <w:jc w:val="center"/>
              <w:rPr>
                <w:rFonts w:asciiTheme="minorHAnsi" w:hAnsiTheme="minorHAnsi" w:cs="Calibri"/>
                <w:b/>
                <w:bCs/>
                <w:color w:val="000000"/>
              </w:rPr>
            </w:pPr>
            <w:r w:rsidRPr="006E0231">
              <w:rPr>
                <w:rFonts w:asciiTheme="minorHAnsi" w:hAnsiTheme="minorHAnsi" w:cs="Calibri"/>
                <w:b/>
                <w:bCs/>
                <w:color w:val="000000"/>
              </w:rPr>
              <w:t>FY22</w:t>
            </w:r>
          </w:p>
        </w:tc>
        <w:tc>
          <w:tcPr>
            <w:tcW w:w="1366" w:type="dxa"/>
            <w:tcBorders>
              <w:top w:val="nil"/>
              <w:left w:val="nil"/>
              <w:bottom w:val="single" w:sz="4" w:space="0" w:color="auto"/>
              <w:right w:val="single" w:sz="4" w:space="0" w:color="auto"/>
            </w:tcBorders>
            <w:shd w:val="clear" w:color="auto" w:fill="auto"/>
            <w:noWrap/>
            <w:vAlign w:val="center"/>
            <w:hideMark/>
          </w:tcPr>
          <w:p w14:paraId="395517CC" w14:textId="77777777" w:rsidR="00A23E75" w:rsidRPr="006E0231" w:rsidRDefault="00A23E75" w:rsidP="00A46DC0">
            <w:pPr>
              <w:jc w:val="center"/>
              <w:rPr>
                <w:rFonts w:asciiTheme="minorHAnsi" w:hAnsiTheme="minorHAnsi" w:cs="Calibri"/>
                <w:b/>
                <w:bCs/>
                <w:color w:val="000000"/>
              </w:rPr>
            </w:pPr>
            <w:r w:rsidRPr="006E0231">
              <w:rPr>
                <w:rFonts w:asciiTheme="minorHAnsi" w:hAnsiTheme="minorHAnsi" w:cs="Calibri"/>
                <w:b/>
                <w:bCs/>
                <w:color w:val="000000"/>
              </w:rPr>
              <w:t>FY23</w:t>
            </w:r>
          </w:p>
        </w:tc>
        <w:tc>
          <w:tcPr>
            <w:tcW w:w="1366" w:type="dxa"/>
            <w:tcBorders>
              <w:top w:val="nil"/>
              <w:left w:val="nil"/>
              <w:bottom w:val="single" w:sz="4" w:space="0" w:color="auto"/>
              <w:right w:val="single" w:sz="4" w:space="0" w:color="auto"/>
            </w:tcBorders>
            <w:shd w:val="clear" w:color="auto" w:fill="auto"/>
            <w:noWrap/>
            <w:vAlign w:val="center"/>
            <w:hideMark/>
          </w:tcPr>
          <w:p w14:paraId="107EB6D8" w14:textId="77777777" w:rsidR="00A23E75" w:rsidRPr="006E0231" w:rsidRDefault="00A23E75" w:rsidP="00A46DC0">
            <w:pPr>
              <w:jc w:val="center"/>
              <w:rPr>
                <w:rFonts w:asciiTheme="minorHAnsi" w:hAnsiTheme="minorHAnsi" w:cs="Calibri"/>
                <w:b/>
                <w:bCs/>
                <w:color w:val="000000"/>
              </w:rPr>
            </w:pPr>
            <w:r w:rsidRPr="006E0231">
              <w:rPr>
                <w:rFonts w:asciiTheme="minorHAnsi" w:hAnsiTheme="minorHAnsi" w:cs="Calibri"/>
                <w:b/>
                <w:bCs/>
                <w:color w:val="000000"/>
              </w:rPr>
              <w:t>FY24</w:t>
            </w:r>
          </w:p>
        </w:tc>
        <w:tc>
          <w:tcPr>
            <w:tcW w:w="1366" w:type="dxa"/>
            <w:tcBorders>
              <w:top w:val="nil"/>
              <w:left w:val="nil"/>
              <w:bottom w:val="single" w:sz="4" w:space="0" w:color="auto"/>
              <w:right w:val="single" w:sz="4" w:space="0" w:color="auto"/>
            </w:tcBorders>
            <w:shd w:val="clear" w:color="auto" w:fill="auto"/>
            <w:noWrap/>
            <w:vAlign w:val="center"/>
            <w:hideMark/>
          </w:tcPr>
          <w:p w14:paraId="683925C1" w14:textId="77777777" w:rsidR="00A23E75" w:rsidRPr="006E0231" w:rsidRDefault="00A23E75" w:rsidP="00A46DC0">
            <w:pPr>
              <w:jc w:val="center"/>
              <w:rPr>
                <w:rFonts w:asciiTheme="minorHAnsi" w:hAnsiTheme="minorHAnsi" w:cs="Calibri"/>
                <w:b/>
                <w:bCs/>
                <w:color w:val="000000"/>
              </w:rPr>
            </w:pPr>
            <w:r w:rsidRPr="006E0231">
              <w:rPr>
                <w:rFonts w:asciiTheme="minorHAnsi" w:hAnsiTheme="minorHAnsi" w:cs="Calibri"/>
                <w:b/>
                <w:bCs/>
                <w:color w:val="000000"/>
              </w:rPr>
              <w:t>FY25</w:t>
            </w:r>
          </w:p>
        </w:tc>
      </w:tr>
      <w:tr w:rsidR="00A23E75" w:rsidRPr="006E0231" w14:paraId="0AA44A06" w14:textId="77777777" w:rsidTr="00A46DC0">
        <w:trPr>
          <w:trHeight w:val="2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4D469AC0" w14:textId="77777777" w:rsidR="00A23E75" w:rsidRPr="006E0231" w:rsidRDefault="00A23E75" w:rsidP="006E0231">
            <w:pPr>
              <w:jc w:val="both"/>
              <w:rPr>
                <w:rFonts w:asciiTheme="minorHAnsi" w:hAnsiTheme="minorHAnsi" w:cs="Calibri"/>
                <w:b/>
                <w:bCs/>
                <w:color w:val="0070C0"/>
              </w:rPr>
            </w:pPr>
            <w:r w:rsidRPr="006E0231">
              <w:rPr>
                <w:rFonts w:asciiTheme="minorHAnsi" w:hAnsiTheme="minorHAnsi" w:cs="Calibri"/>
                <w:b/>
                <w:bCs/>
                <w:color w:val="0070C0"/>
              </w:rPr>
              <w:t>FY22 Prelim</w:t>
            </w:r>
          </w:p>
        </w:tc>
        <w:tc>
          <w:tcPr>
            <w:tcW w:w="1366" w:type="dxa"/>
            <w:tcBorders>
              <w:top w:val="nil"/>
              <w:left w:val="nil"/>
              <w:bottom w:val="single" w:sz="4" w:space="0" w:color="auto"/>
              <w:right w:val="single" w:sz="4" w:space="0" w:color="auto"/>
            </w:tcBorders>
            <w:shd w:val="clear" w:color="auto" w:fill="auto"/>
            <w:noWrap/>
            <w:vAlign w:val="center"/>
            <w:hideMark/>
          </w:tcPr>
          <w:p w14:paraId="28AB9FD4" w14:textId="76EDA80D"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$264,756</w:t>
            </w:r>
          </w:p>
        </w:tc>
        <w:tc>
          <w:tcPr>
            <w:tcW w:w="1366" w:type="dxa"/>
            <w:tcBorders>
              <w:top w:val="nil"/>
              <w:left w:val="nil"/>
              <w:bottom w:val="single" w:sz="4" w:space="0" w:color="auto"/>
              <w:right w:val="single" w:sz="4" w:space="0" w:color="auto"/>
            </w:tcBorders>
            <w:shd w:val="clear" w:color="auto" w:fill="auto"/>
            <w:noWrap/>
            <w:vAlign w:val="center"/>
            <w:hideMark/>
          </w:tcPr>
          <w:p w14:paraId="5B1F46F4" w14:textId="5536A753"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$240,946</w:t>
            </w:r>
          </w:p>
        </w:tc>
        <w:tc>
          <w:tcPr>
            <w:tcW w:w="1366" w:type="dxa"/>
            <w:tcBorders>
              <w:top w:val="nil"/>
              <w:left w:val="nil"/>
              <w:bottom w:val="single" w:sz="4" w:space="0" w:color="auto"/>
              <w:right w:val="single" w:sz="4" w:space="0" w:color="auto"/>
            </w:tcBorders>
            <w:shd w:val="clear" w:color="auto" w:fill="auto"/>
            <w:noWrap/>
            <w:vAlign w:val="center"/>
            <w:hideMark/>
          </w:tcPr>
          <w:p w14:paraId="59F1EEA8" w14:textId="12ADF4EF"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$245,180</w:t>
            </w:r>
          </w:p>
        </w:tc>
        <w:tc>
          <w:tcPr>
            <w:tcW w:w="1366" w:type="dxa"/>
            <w:tcBorders>
              <w:top w:val="nil"/>
              <w:left w:val="nil"/>
              <w:bottom w:val="single" w:sz="4" w:space="0" w:color="auto"/>
              <w:right w:val="single" w:sz="4" w:space="0" w:color="auto"/>
            </w:tcBorders>
            <w:shd w:val="clear" w:color="auto" w:fill="auto"/>
            <w:noWrap/>
            <w:vAlign w:val="center"/>
            <w:hideMark/>
          </w:tcPr>
          <w:p w14:paraId="315D9214" w14:textId="549E3169"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$245,180</w:t>
            </w:r>
          </w:p>
        </w:tc>
        <w:tc>
          <w:tcPr>
            <w:tcW w:w="1366" w:type="dxa"/>
            <w:tcBorders>
              <w:top w:val="nil"/>
              <w:left w:val="nil"/>
              <w:bottom w:val="single" w:sz="4" w:space="0" w:color="auto"/>
              <w:right w:val="single" w:sz="4" w:space="0" w:color="auto"/>
            </w:tcBorders>
            <w:shd w:val="clear" w:color="auto" w:fill="auto"/>
            <w:noWrap/>
            <w:vAlign w:val="center"/>
            <w:hideMark/>
          </w:tcPr>
          <w:p w14:paraId="6DB9C415" w14:textId="7B2B59B1"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$245,180</w:t>
            </w:r>
          </w:p>
        </w:tc>
      </w:tr>
      <w:tr w:rsidR="00A23E75" w:rsidRPr="006E0231" w14:paraId="1AB8C01B" w14:textId="77777777" w:rsidTr="00A46DC0">
        <w:trPr>
          <w:trHeight w:val="2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5BB88D56" w14:textId="77777777" w:rsidR="00A23E75" w:rsidRPr="006E0231" w:rsidRDefault="00A23E75" w:rsidP="006E0231">
            <w:pPr>
              <w:jc w:val="both"/>
              <w:rPr>
                <w:rFonts w:asciiTheme="minorHAnsi" w:hAnsiTheme="minorHAnsi" w:cs="Calibri"/>
                <w:i/>
                <w:iCs/>
                <w:color w:val="000000"/>
              </w:rPr>
            </w:pPr>
            <w:r w:rsidRPr="006E0231">
              <w:rPr>
                <w:rFonts w:asciiTheme="minorHAnsi" w:hAnsiTheme="minorHAnsi" w:cs="Calibri"/>
                <w:i/>
                <w:iCs/>
                <w:color w:val="000000"/>
              </w:rPr>
              <w:t>New Needs</w:t>
            </w:r>
          </w:p>
        </w:tc>
        <w:tc>
          <w:tcPr>
            <w:tcW w:w="1366" w:type="dxa"/>
            <w:tcBorders>
              <w:top w:val="nil"/>
              <w:left w:val="nil"/>
              <w:bottom w:val="single" w:sz="4" w:space="0" w:color="auto"/>
              <w:right w:val="single" w:sz="4" w:space="0" w:color="auto"/>
            </w:tcBorders>
            <w:shd w:val="clear" w:color="auto" w:fill="auto"/>
            <w:noWrap/>
            <w:vAlign w:val="center"/>
            <w:hideMark/>
          </w:tcPr>
          <w:p w14:paraId="52130F2E" w14:textId="491CCF97"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5,605</w:t>
            </w:r>
          </w:p>
        </w:tc>
        <w:tc>
          <w:tcPr>
            <w:tcW w:w="1366" w:type="dxa"/>
            <w:tcBorders>
              <w:top w:val="nil"/>
              <w:left w:val="nil"/>
              <w:bottom w:val="single" w:sz="4" w:space="0" w:color="auto"/>
              <w:right w:val="single" w:sz="4" w:space="0" w:color="auto"/>
            </w:tcBorders>
            <w:shd w:val="clear" w:color="auto" w:fill="auto"/>
            <w:noWrap/>
            <w:vAlign w:val="center"/>
            <w:hideMark/>
          </w:tcPr>
          <w:p w14:paraId="403A49FA" w14:textId="7154AA18"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48,820</w:t>
            </w:r>
          </w:p>
        </w:tc>
        <w:tc>
          <w:tcPr>
            <w:tcW w:w="1366" w:type="dxa"/>
            <w:tcBorders>
              <w:top w:val="nil"/>
              <w:left w:val="nil"/>
              <w:bottom w:val="single" w:sz="4" w:space="0" w:color="auto"/>
              <w:right w:val="single" w:sz="4" w:space="0" w:color="auto"/>
            </w:tcBorders>
            <w:shd w:val="clear" w:color="auto" w:fill="auto"/>
            <w:noWrap/>
            <w:vAlign w:val="center"/>
            <w:hideMark/>
          </w:tcPr>
          <w:p w14:paraId="1734D5BD" w14:textId="580E5D8B"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630</w:t>
            </w:r>
          </w:p>
        </w:tc>
        <w:tc>
          <w:tcPr>
            <w:tcW w:w="1366" w:type="dxa"/>
            <w:tcBorders>
              <w:top w:val="nil"/>
              <w:left w:val="nil"/>
              <w:bottom w:val="single" w:sz="4" w:space="0" w:color="auto"/>
              <w:right w:val="single" w:sz="4" w:space="0" w:color="auto"/>
            </w:tcBorders>
            <w:shd w:val="clear" w:color="auto" w:fill="auto"/>
            <w:noWrap/>
            <w:vAlign w:val="center"/>
            <w:hideMark/>
          </w:tcPr>
          <w:p w14:paraId="60F865EF" w14:textId="3A277D08"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630</w:t>
            </w:r>
          </w:p>
        </w:tc>
        <w:tc>
          <w:tcPr>
            <w:tcW w:w="1366" w:type="dxa"/>
            <w:tcBorders>
              <w:top w:val="nil"/>
              <w:left w:val="nil"/>
              <w:bottom w:val="single" w:sz="4" w:space="0" w:color="auto"/>
              <w:right w:val="single" w:sz="4" w:space="0" w:color="auto"/>
            </w:tcBorders>
            <w:shd w:val="clear" w:color="auto" w:fill="auto"/>
            <w:noWrap/>
            <w:vAlign w:val="center"/>
            <w:hideMark/>
          </w:tcPr>
          <w:p w14:paraId="346B7D75" w14:textId="17F46617"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630</w:t>
            </w:r>
          </w:p>
        </w:tc>
      </w:tr>
      <w:tr w:rsidR="00A23E75" w:rsidRPr="006E0231" w14:paraId="5AA9B13C" w14:textId="77777777" w:rsidTr="00A46DC0">
        <w:trPr>
          <w:trHeight w:val="2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3CAE940A" w14:textId="77777777" w:rsidR="00A23E75" w:rsidRPr="006E0231" w:rsidRDefault="00A23E75" w:rsidP="006E0231">
            <w:pPr>
              <w:jc w:val="both"/>
              <w:rPr>
                <w:rFonts w:asciiTheme="minorHAnsi" w:hAnsiTheme="minorHAnsi" w:cs="Calibri"/>
                <w:i/>
                <w:iCs/>
                <w:color w:val="000000"/>
              </w:rPr>
            </w:pPr>
            <w:r w:rsidRPr="006E0231">
              <w:rPr>
                <w:rFonts w:asciiTheme="minorHAnsi" w:hAnsiTheme="minorHAnsi" w:cs="Calibri"/>
                <w:i/>
                <w:iCs/>
                <w:color w:val="000000"/>
              </w:rPr>
              <w:t>Other Adjustments</w:t>
            </w:r>
          </w:p>
        </w:tc>
        <w:tc>
          <w:tcPr>
            <w:tcW w:w="1366" w:type="dxa"/>
            <w:tcBorders>
              <w:top w:val="nil"/>
              <w:left w:val="nil"/>
              <w:bottom w:val="single" w:sz="4" w:space="0" w:color="auto"/>
              <w:right w:val="single" w:sz="4" w:space="0" w:color="auto"/>
            </w:tcBorders>
            <w:shd w:val="clear" w:color="auto" w:fill="auto"/>
            <w:noWrap/>
            <w:vAlign w:val="center"/>
            <w:hideMark/>
          </w:tcPr>
          <w:p w14:paraId="1072215F" w14:textId="15FD2D17"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1,576</w:t>
            </w:r>
          </w:p>
        </w:tc>
        <w:tc>
          <w:tcPr>
            <w:tcW w:w="1366" w:type="dxa"/>
            <w:tcBorders>
              <w:top w:val="nil"/>
              <w:left w:val="nil"/>
              <w:bottom w:val="single" w:sz="4" w:space="0" w:color="auto"/>
              <w:right w:val="single" w:sz="4" w:space="0" w:color="auto"/>
            </w:tcBorders>
            <w:shd w:val="clear" w:color="auto" w:fill="auto"/>
            <w:noWrap/>
            <w:vAlign w:val="center"/>
            <w:hideMark/>
          </w:tcPr>
          <w:p w14:paraId="0576F5E8" w14:textId="2CB78FB1"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99</w:t>
            </w:r>
          </w:p>
        </w:tc>
        <w:tc>
          <w:tcPr>
            <w:tcW w:w="1366" w:type="dxa"/>
            <w:tcBorders>
              <w:top w:val="nil"/>
              <w:left w:val="nil"/>
              <w:bottom w:val="single" w:sz="4" w:space="0" w:color="auto"/>
              <w:right w:val="single" w:sz="4" w:space="0" w:color="auto"/>
            </w:tcBorders>
            <w:shd w:val="clear" w:color="auto" w:fill="auto"/>
            <w:noWrap/>
            <w:vAlign w:val="center"/>
            <w:hideMark/>
          </w:tcPr>
          <w:p w14:paraId="3FC48831" w14:textId="191045F5"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99</w:t>
            </w:r>
          </w:p>
        </w:tc>
        <w:tc>
          <w:tcPr>
            <w:tcW w:w="1366" w:type="dxa"/>
            <w:tcBorders>
              <w:top w:val="nil"/>
              <w:left w:val="nil"/>
              <w:bottom w:val="single" w:sz="4" w:space="0" w:color="auto"/>
              <w:right w:val="single" w:sz="4" w:space="0" w:color="auto"/>
            </w:tcBorders>
            <w:shd w:val="clear" w:color="auto" w:fill="auto"/>
            <w:noWrap/>
            <w:vAlign w:val="center"/>
            <w:hideMark/>
          </w:tcPr>
          <w:p w14:paraId="71A9A181" w14:textId="20587483"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99</w:t>
            </w:r>
          </w:p>
        </w:tc>
        <w:tc>
          <w:tcPr>
            <w:tcW w:w="1366" w:type="dxa"/>
            <w:tcBorders>
              <w:top w:val="nil"/>
              <w:left w:val="nil"/>
              <w:bottom w:val="single" w:sz="4" w:space="0" w:color="auto"/>
              <w:right w:val="single" w:sz="4" w:space="0" w:color="auto"/>
            </w:tcBorders>
            <w:shd w:val="clear" w:color="auto" w:fill="auto"/>
            <w:noWrap/>
            <w:vAlign w:val="center"/>
            <w:hideMark/>
          </w:tcPr>
          <w:p w14:paraId="13A5CCAC" w14:textId="7C7A9B61"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99</w:t>
            </w:r>
          </w:p>
        </w:tc>
      </w:tr>
      <w:tr w:rsidR="00A23E75" w:rsidRPr="006E0231" w14:paraId="28B0AE7D" w14:textId="77777777" w:rsidTr="00A46DC0">
        <w:trPr>
          <w:trHeight w:val="2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3B0120F7" w14:textId="77777777" w:rsidR="00A23E75" w:rsidRPr="006E0231" w:rsidRDefault="00A23E75" w:rsidP="006E0231">
            <w:pPr>
              <w:jc w:val="both"/>
              <w:rPr>
                <w:rFonts w:asciiTheme="minorHAnsi" w:hAnsiTheme="minorHAnsi" w:cs="Calibri"/>
                <w:i/>
                <w:iCs/>
                <w:color w:val="000000"/>
              </w:rPr>
            </w:pPr>
            <w:r w:rsidRPr="006E0231">
              <w:rPr>
                <w:rFonts w:asciiTheme="minorHAnsi" w:hAnsiTheme="minorHAnsi" w:cs="Calibri"/>
                <w:i/>
                <w:iCs/>
                <w:color w:val="000000"/>
              </w:rPr>
              <w:lastRenderedPageBreak/>
              <w:t>Savings</w:t>
            </w:r>
          </w:p>
        </w:tc>
        <w:tc>
          <w:tcPr>
            <w:tcW w:w="1366" w:type="dxa"/>
            <w:tcBorders>
              <w:top w:val="nil"/>
              <w:left w:val="nil"/>
              <w:bottom w:val="single" w:sz="4" w:space="0" w:color="auto"/>
              <w:right w:val="single" w:sz="4" w:space="0" w:color="auto"/>
            </w:tcBorders>
            <w:shd w:val="clear" w:color="auto" w:fill="auto"/>
            <w:noWrap/>
            <w:vAlign w:val="center"/>
            <w:hideMark/>
          </w:tcPr>
          <w:p w14:paraId="355A793A" w14:textId="06A7D79F"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6" w:type="dxa"/>
            <w:tcBorders>
              <w:top w:val="nil"/>
              <w:left w:val="nil"/>
              <w:bottom w:val="single" w:sz="4" w:space="0" w:color="auto"/>
              <w:right w:val="single" w:sz="4" w:space="0" w:color="auto"/>
            </w:tcBorders>
            <w:shd w:val="clear" w:color="auto" w:fill="auto"/>
            <w:noWrap/>
            <w:vAlign w:val="center"/>
            <w:hideMark/>
          </w:tcPr>
          <w:p w14:paraId="6AE96336" w14:textId="70079A25"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6" w:type="dxa"/>
            <w:tcBorders>
              <w:top w:val="nil"/>
              <w:left w:val="nil"/>
              <w:bottom w:val="single" w:sz="4" w:space="0" w:color="auto"/>
              <w:right w:val="single" w:sz="4" w:space="0" w:color="auto"/>
            </w:tcBorders>
            <w:shd w:val="clear" w:color="auto" w:fill="auto"/>
            <w:noWrap/>
            <w:vAlign w:val="center"/>
            <w:hideMark/>
          </w:tcPr>
          <w:p w14:paraId="168FF0DA" w14:textId="6EB15DCC"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6" w:type="dxa"/>
            <w:tcBorders>
              <w:top w:val="nil"/>
              <w:left w:val="nil"/>
              <w:bottom w:val="single" w:sz="4" w:space="0" w:color="auto"/>
              <w:right w:val="single" w:sz="4" w:space="0" w:color="auto"/>
            </w:tcBorders>
            <w:shd w:val="clear" w:color="auto" w:fill="auto"/>
            <w:noWrap/>
            <w:vAlign w:val="center"/>
            <w:hideMark/>
          </w:tcPr>
          <w:p w14:paraId="2B1793C5" w14:textId="25684BBB"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6" w:type="dxa"/>
            <w:tcBorders>
              <w:top w:val="nil"/>
              <w:left w:val="nil"/>
              <w:bottom w:val="single" w:sz="4" w:space="0" w:color="auto"/>
              <w:right w:val="single" w:sz="4" w:space="0" w:color="auto"/>
            </w:tcBorders>
            <w:shd w:val="clear" w:color="auto" w:fill="auto"/>
            <w:noWrap/>
            <w:vAlign w:val="center"/>
            <w:hideMark/>
          </w:tcPr>
          <w:p w14:paraId="428CA55D" w14:textId="2D2DF8B6" w:rsidR="00A23E75" w:rsidRPr="006E0231" w:rsidRDefault="00A23E75"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A23E75" w:rsidRPr="006E0231" w14:paraId="1861D8E2" w14:textId="77777777" w:rsidTr="00A46DC0">
        <w:trPr>
          <w:trHeight w:val="2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1D22B2C0" w14:textId="77777777" w:rsidR="00A23E75" w:rsidRPr="006E0231" w:rsidRDefault="00A23E75" w:rsidP="006E0231">
            <w:pPr>
              <w:jc w:val="both"/>
              <w:rPr>
                <w:rFonts w:asciiTheme="minorHAnsi" w:hAnsiTheme="minorHAnsi" w:cs="Calibri"/>
                <w:b/>
                <w:bCs/>
                <w:i/>
                <w:iCs/>
                <w:color w:val="000000"/>
              </w:rPr>
            </w:pPr>
            <w:r w:rsidRPr="006E0231">
              <w:rPr>
                <w:rFonts w:asciiTheme="minorHAnsi" w:hAnsiTheme="minorHAnsi" w:cs="Calibri"/>
                <w:b/>
                <w:bCs/>
                <w:i/>
                <w:iCs/>
                <w:color w:val="000000"/>
              </w:rPr>
              <w:t>Total Change</w:t>
            </w:r>
          </w:p>
        </w:tc>
        <w:tc>
          <w:tcPr>
            <w:tcW w:w="1366" w:type="dxa"/>
            <w:tcBorders>
              <w:top w:val="nil"/>
              <w:left w:val="nil"/>
              <w:bottom w:val="single" w:sz="4" w:space="0" w:color="auto"/>
              <w:right w:val="single" w:sz="4" w:space="0" w:color="auto"/>
            </w:tcBorders>
            <w:shd w:val="clear" w:color="auto" w:fill="auto"/>
            <w:noWrap/>
            <w:vAlign w:val="center"/>
            <w:hideMark/>
          </w:tcPr>
          <w:p w14:paraId="57303236" w14:textId="5BC2C3E0" w:rsidR="00A23E75" w:rsidRPr="006E0231" w:rsidRDefault="00A23E75"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$7,181</w:t>
            </w:r>
          </w:p>
        </w:tc>
        <w:tc>
          <w:tcPr>
            <w:tcW w:w="1366" w:type="dxa"/>
            <w:tcBorders>
              <w:top w:val="nil"/>
              <w:left w:val="nil"/>
              <w:bottom w:val="single" w:sz="4" w:space="0" w:color="auto"/>
              <w:right w:val="single" w:sz="4" w:space="0" w:color="auto"/>
            </w:tcBorders>
            <w:shd w:val="clear" w:color="auto" w:fill="auto"/>
            <w:noWrap/>
            <w:vAlign w:val="center"/>
            <w:hideMark/>
          </w:tcPr>
          <w:p w14:paraId="6F031FE0" w14:textId="35F1B8E6" w:rsidR="00A23E75" w:rsidRPr="006E0231" w:rsidRDefault="00A23E75"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$48,919</w:t>
            </w:r>
          </w:p>
        </w:tc>
        <w:tc>
          <w:tcPr>
            <w:tcW w:w="1366" w:type="dxa"/>
            <w:tcBorders>
              <w:top w:val="nil"/>
              <w:left w:val="nil"/>
              <w:bottom w:val="single" w:sz="4" w:space="0" w:color="auto"/>
              <w:right w:val="single" w:sz="4" w:space="0" w:color="auto"/>
            </w:tcBorders>
            <w:shd w:val="clear" w:color="auto" w:fill="auto"/>
            <w:noWrap/>
            <w:vAlign w:val="center"/>
            <w:hideMark/>
          </w:tcPr>
          <w:p w14:paraId="65EAC18B" w14:textId="16059B1F" w:rsidR="00A23E75" w:rsidRPr="006E0231" w:rsidRDefault="00A23E75"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$729</w:t>
            </w:r>
          </w:p>
        </w:tc>
        <w:tc>
          <w:tcPr>
            <w:tcW w:w="1366" w:type="dxa"/>
            <w:tcBorders>
              <w:top w:val="nil"/>
              <w:left w:val="nil"/>
              <w:bottom w:val="single" w:sz="4" w:space="0" w:color="auto"/>
              <w:right w:val="single" w:sz="4" w:space="0" w:color="auto"/>
            </w:tcBorders>
            <w:shd w:val="clear" w:color="auto" w:fill="auto"/>
            <w:noWrap/>
            <w:vAlign w:val="center"/>
            <w:hideMark/>
          </w:tcPr>
          <w:p w14:paraId="7A0FE45C" w14:textId="16812DA7" w:rsidR="00A23E75" w:rsidRPr="006E0231" w:rsidRDefault="00A23E75"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$729</w:t>
            </w:r>
          </w:p>
        </w:tc>
        <w:tc>
          <w:tcPr>
            <w:tcW w:w="1366" w:type="dxa"/>
            <w:tcBorders>
              <w:top w:val="nil"/>
              <w:left w:val="nil"/>
              <w:bottom w:val="single" w:sz="4" w:space="0" w:color="auto"/>
              <w:right w:val="single" w:sz="4" w:space="0" w:color="auto"/>
            </w:tcBorders>
            <w:shd w:val="clear" w:color="auto" w:fill="auto"/>
            <w:noWrap/>
            <w:vAlign w:val="center"/>
            <w:hideMark/>
          </w:tcPr>
          <w:p w14:paraId="4EB888B8" w14:textId="31721CCD" w:rsidR="00A23E75" w:rsidRPr="006E0231" w:rsidRDefault="00A23E75"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$729</w:t>
            </w:r>
          </w:p>
        </w:tc>
      </w:tr>
      <w:tr w:rsidR="00A23E75" w:rsidRPr="006E0231" w14:paraId="4CBA05EB" w14:textId="77777777" w:rsidTr="00A46DC0">
        <w:trPr>
          <w:trHeight w:val="20"/>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7CCA0800" w14:textId="77777777" w:rsidR="00A23E75" w:rsidRPr="006E0231" w:rsidRDefault="00A23E75" w:rsidP="006E0231">
            <w:pPr>
              <w:jc w:val="both"/>
              <w:rPr>
                <w:rFonts w:asciiTheme="minorHAnsi" w:hAnsiTheme="minorHAnsi" w:cs="Calibri"/>
                <w:b/>
                <w:bCs/>
                <w:color w:val="0070C0"/>
              </w:rPr>
            </w:pPr>
            <w:r w:rsidRPr="006E0231">
              <w:rPr>
                <w:rFonts w:asciiTheme="minorHAnsi" w:hAnsiTheme="minorHAnsi" w:cs="Calibri"/>
                <w:b/>
                <w:bCs/>
                <w:color w:val="0070C0"/>
              </w:rPr>
              <w:t>FY22 Exec</w:t>
            </w:r>
          </w:p>
        </w:tc>
        <w:tc>
          <w:tcPr>
            <w:tcW w:w="1366" w:type="dxa"/>
            <w:tcBorders>
              <w:top w:val="nil"/>
              <w:left w:val="nil"/>
              <w:bottom w:val="single" w:sz="4" w:space="0" w:color="auto"/>
              <w:right w:val="single" w:sz="4" w:space="0" w:color="auto"/>
            </w:tcBorders>
            <w:shd w:val="clear" w:color="auto" w:fill="auto"/>
            <w:noWrap/>
            <w:vAlign w:val="center"/>
            <w:hideMark/>
          </w:tcPr>
          <w:p w14:paraId="6DA1E727" w14:textId="630B80B4"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$271,936</w:t>
            </w:r>
          </w:p>
        </w:tc>
        <w:tc>
          <w:tcPr>
            <w:tcW w:w="1366" w:type="dxa"/>
            <w:tcBorders>
              <w:top w:val="nil"/>
              <w:left w:val="nil"/>
              <w:bottom w:val="single" w:sz="4" w:space="0" w:color="auto"/>
              <w:right w:val="single" w:sz="4" w:space="0" w:color="auto"/>
            </w:tcBorders>
            <w:shd w:val="clear" w:color="auto" w:fill="auto"/>
            <w:noWrap/>
            <w:vAlign w:val="center"/>
            <w:hideMark/>
          </w:tcPr>
          <w:p w14:paraId="772DA672" w14:textId="2658053A"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$289,865</w:t>
            </w:r>
          </w:p>
        </w:tc>
        <w:tc>
          <w:tcPr>
            <w:tcW w:w="1366" w:type="dxa"/>
            <w:tcBorders>
              <w:top w:val="nil"/>
              <w:left w:val="nil"/>
              <w:bottom w:val="single" w:sz="4" w:space="0" w:color="auto"/>
              <w:right w:val="single" w:sz="4" w:space="0" w:color="auto"/>
            </w:tcBorders>
            <w:shd w:val="clear" w:color="auto" w:fill="auto"/>
            <w:noWrap/>
            <w:vAlign w:val="center"/>
            <w:hideMark/>
          </w:tcPr>
          <w:p w14:paraId="2D57572E" w14:textId="740A054F"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$245,908</w:t>
            </w:r>
          </w:p>
        </w:tc>
        <w:tc>
          <w:tcPr>
            <w:tcW w:w="1366" w:type="dxa"/>
            <w:tcBorders>
              <w:top w:val="nil"/>
              <w:left w:val="nil"/>
              <w:bottom w:val="single" w:sz="4" w:space="0" w:color="auto"/>
              <w:right w:val="single" w:sz="4" w:space="0" w:color="auto"/>
            </w:tcBorders>
            <w:shd w:val="clear" w:color="auto" w:fill="auto"/>
            <w:noWrap/>
            <w:vAlign w:val="center"/>
            <w:hideMark/>
          </w:tcPr>
          <w:p w14:paraId="0AB84B9E" w14:textId="5D1E1665"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$245,908</w:t>
            </w:r>
          </w:p>
        </w:tc>
        <w:tc>
          <w:tcPr>
            <w:tcW w:w="1366" w:type="dxa"/>
            <w:tcBorders>
              <w:top w:val="nil"/>
              <w:left w:val="nil"/>
              <w:bottom w:val="single" w:sz="4" w:space="0" w:color="auto"/>
              <w:right w:val="single" w:sz="4" w:space="0" w:color="auto"/>
            </w:tcBorders>
            <w:shd w:val="clear" w:color="auto" w:fill="auto"/>
            <w:noWrap/>
            <w:vAlign w:val="center"/>
            <w:hideMark/>
          </w:tcPr>
          <w:p w14:paraId="5B399FF3" w14:textId="590C9F84" w:rsidR="00A23E75" w:rsidRPr="006E0231" w:rsidRDefault="00A23E75" w:rsidP="16194CFB">
            <w:pPr>
              <w:jc w:val="right"/>
              <w:rPr>
                <w:rFonts w:asciiTheme="minorHAnsi" w:hAnsiTheme="minorHAnsi" w:cs="Calibri"/>
                <w:b/>
                <w:bCs/>
                <w:color w:val="000000"/>
              </w:rPr>
            </w:pPr>
            <w:r w:rsidRPr="16194CFB">
              <w:rPr>
                <w:rFonts w:asciiTheme="minorHAnsi" w:hAnsiTheme="minorHAnsi" w:cs="Calibri"/>
                <w:b/>
                <w:bCs/>
                <w:color w:val="000000" w:themeColor="text1"/>
              </w:rPr>
              <w:t>$245,908</w:t>
            </w:r>
          </w:p>
        </w:tc>
      </w:tr>
    </w:tbl>
    <w:p w14:paraId="6E4F489D" w14:textId="3FEEAA19" w:rsidR="00A23E75" w:rsidRPr="006E0231" w:rsidRDefault="00A23E75" w:rsidP="008E715B">
      <w:pPr>
        <w:spacing w:before="120" w:after="120"/>
        <w:jc w:val="both"/>
        <w:rPr>
          <w:rFonts w:asciiTheme="minorHAnsi" w:hAnsiTheme="minorHAnsi" w:cstheme="minorBidi"/>
          <w:color w:val="000000" w:themeColor="text1"/>
        </w:rPr>
      </w:pPr>
      <w:r w:rsidRPr="16194CFB">
        <w:rPr>
          <w:rFonts w:asciiTheme="minorHAnsi" w:hAnsiTheme="minorHAnsi" w:cstheme="minorBidi"/>
          <w:color w:val="000000" w:themeColor="text1"/>
        </w:rPr>
        <w:t>The Law Department’s Fiscal 2022 Executive budget totals $289.9 million</w:t>
      </w:r>
      <w:r w:rsidR="085950EC" w:rsidRPr="16194CFB">
        <w:rPr>
          <w:rFonts w:asciiTheme="minorHAnsi" w:hAnsiTheme="minorHAnsi" w:cstheme="minorBidi"/>
          <w:color w:val="000000" w:themeColor="text1"/>
        </w:rPr>
        <w:t>,</w:t>
      </w:r>
      <w:r w:rsidRPr="16194CFB">
        <w:rPr>
          <w:rFonts w:asciiTheme="minorHAnsi" w:hAnsiTheme="minorHAnsi" w:cstheme="minorBidi"/>
          <w:color w:val="000000" w:themeColor="text1"/>
        </w:rPr>
        <w:t xml:space="preserve"> an</w:t>
      </w:r>
      <w:r w:rsidR="03A8AD60" w:rsidRPr="16194CFB">
        <w:rPr>
          <w:rFonts w:asciiTheme="minorHAnsi" w:hAnsiTheme="minorHAnsi" w:cstheme="minorBidi"/>
          <w:color w:val="000000" w:themeColor="text1"/>
        </w:rPr>
        <w:t xml:space="preserve"> increase of</w:t>
      </w:r>
      <w:r w:rsidR="38682975" w:rsidRPr="16194CFB">
        <w:rPr>
          <w:rFonts w:asciiTheme="minorHAnsi" w:hAnsiTheme="minorHAnsi" w:cstheme="minorBidi"/>
          <w:color w:val="000000" w:themeColor="text1"/>
        </w:rPr>
        <w:t xml:space="preserve"> </w:t>
      </w:r>
      <w:r w:rsidRPr="16194CFB">
        <w:rPr>
          <w:rFonts w:asciiTheme="minorHAnsi" w:hAnsiTheme="minorHAnsi" w:cstheme="minorBidi"/>
          <w:color w:val="000000" w:themeColor="text1"/>
        </w:rPr>
        <w:t xml:space="preserve">$48.9 million when compared to its Fiscal 2022 Preliminary budget. </w:t>
      </w:r>
      <w:r w:rsidR="008377DB" w:rsidRPr="16194CFB">
        <w:rPr>
          <w:rFonts w:asciiTheme="minorHAnsi" w:hAnsiTheme="minorHAnsi" w:cstheme="minorBidi"/>
          <w:color w:val="000000" w:themeColor="text1"/>
        </w:rPr>
        <w:t>Additionally, the Law Department’s current year budget totals $271.9 million, an</w:t>
      </w:r>
      <w:r w:rsidR="003DB8D1" w:rsidRPr="16194CFB">
        <w:rPr>
          <w:rFonts w:asciiTheme="minorHAnsi" w:hAnsiTheme="minorHAnsi" w:cstheme="minorBidi"/>
          <w:color w:val="000000" w:themeColor="text1"/>
        </w:rPr>
        <w:t xml:space="preserve"> increase</w:t>
      </w:r>
      <w:r w:rsidR="008377DB" w:rsidRPr="16194CFB">
        <w:rPr>
          <w:rFonts w:asciiTheme="minorHAnsi" w:hAnsiTheme="minorHAnsi" w:cstheme="minorBidi"/>
          <w:color w:val="000000" w:themeColor="text1"/>
        </w:rPr>
        <w:t xml:space="preserve"> </w:t>
      </w:r>
      <w:r w:rsidR="7156BDC4" w:rsidRPr="16194CFB">
        <w:rPr>
          <w:rFonts w:asciiTheme="minorHAnsi" w:hAnsiTheme="minorHAnsi" w:cstheme="minorBidi"/>
          <w:color w:val="000000" w:themeColor="text1"/>
        </w:rPr>
        <w:t>of</w:t>
      </w:r>
      <w:r w:rsidR="008377DB" w:rsidRPr="16194CFB">
        <w:rPr>
          <w:rFonts w:asciiTheme="minorHAnsi" w:hAnsiTheme="minorHAnsi" w:cstheme="minorBidi"/>
          <w:color w:val="000000" w:themeColor="text1"/>
        </w:rPr>
        <w:t xml:space="preserve"> $7.2 million </w:t>
      </w:r>
      <w:proofErr w:type="spellStart"/>
      <w:proofErr w:type="gramStart"/>
      <w:r w:rsidR="32183636" w:rsidRPr="16194CFB">
        <w:rPr>
          <w:rFonts w:asciiTheme="minorHAnsi" w:hAnsiTheme="minorHAnsi" w:cstheme="minorBidi"/>
          <w:color w:val="000000" w:themeColor="text1"/>
        </w:rPr>
        <w:t>over</w:t>
      </w:r>
      <w:r w:rsidR="008377DB" w:rsidRPr="16194CFB">
        <w:rPr>
          <w:rFonts w:asciiTheme="minorHAnsi" w:hAnsiTheme="minorHAnsi" w:cstheme="minorBidi"/>
          <w:color w:val="000000" w:themeColor="text1"/>
        </w:rPr>
        <w:t>its</w:t>
      </w:r>
      <w:proofErr w:type="spellEnd"/>
      <w:proofErr w:type="gramEnd"/>
      <w:r w:rsidR="008377DB" w:rsidRPr="16194CFB">
        <w:rPr>
          <w:rFonts w:asciiTheme="minorHAnsi" w:hAnsiTheme="minorHAnsi" w:cstheme="minorBidi"/>
          <w:color w:val="000000" w:themeColor="text1"/>
        </w:rPr>
        <w:t xml:space="preserve"> Preliminary budget. This increase </w:t>
      </w:r>
      <w:proofErr w:type="gramStart"/>
      <w:r w:rsidR="008377DB" w:rsidRPr="16194CFB">
        <w:rPr>
          <w:rFonts w:asciiTheme="minorHAnsi" w:hAnsiTheme="minorHAnsi" w:cstheme="minorBidi"/>
          <w:color w:val="000000" w:themeColor="text1"/>
        </w:rPr>
        <w:t>is primarily brought about</w:t>
      </w:r>
      <w:proofErr w:type="gramEnd"/>
      <w:r w:rsidR="008377DB" w:rsidRPr="16194CFB">
        <w:rPr>
          <w:rFonts w:asciiTheme="minorHAnsi" w:hAnsiTheme="minorHAnsi" w:cstheme="minorBidi"/>
          <w:color w:val="000000" w:themeColor="text1"/>
        </w:rPr>
        <w:t xml:space="preserve"> by the Department’s new needs package in the current fiscal year. </w:t>
      </w:r>
      <w:r w:rsidRPr="16194CFB">
        <w:rPr>
          <w:rFonts w:asciiTheme="minorHAnsi" w:hAnsiTheme="minorHAnsi" w:cstheme="minorBidi"/>
          <w:color w:val="000000" w:themeColor="text1"/>
        </w:rPr>
        <w:t xml:space="preserve">The increases in the </w:t>
      </w:r>
      <w:r w:rsidR="2A01097D" w:rsidRPr="16194CFB">
        <w:rPr>
          <w:rFonts w:asciiTheme="minorHAnsi" w:hAnsiTheme="minorHAnsi" w:cstheme="minorBidi"/>
          <w:color w:val="000000" w:themeColor="text1"/>
        </w:rPr>
        <w:t xml:space="preserve">Law </w:t>
      </w:r>
      <w:r w:rsidRPr="16194CFB">
        <w:rPr>
          <w:rFonts w:asciiTheme="minorHAnsi" w:hAnsiTheme="minorHAnsi" w:cstheme="minorBidi"/>
          <w:color w:val="000000" w:themeColor="text1"/>
        </w:rPr>
        <w:t xml:space="preserve">Department’s current year budget, Fiscal 2022 budget, and </w:t>
      </w:r>
      <w:proofErr w:type="spellStart"/>
      <w:r w:rsidRPr="16194CFB">
        <w:rPr>
          <w:rFonts w:asciiTheme="minorHAnsi" w:hAnsiTheme="minorHAnsi" w:cstheme="minorBidi"/>
          <w:color w:val="000000" w:themeColor="text1"/>
        </w:rPr>
        <w:t>outyear</w:t>
      </w:r>
      <w:proofErr w:type="spellEnd"/>
      <w:r w:rsidRPr="16194CFB">
        <w:rPr>
          <w:rFonts w:asciiTheme="minorHAnsi" w:hAnsiTheme="minorHAnsi" w:cstheme="minorBidi"/>
          <w:color w:val="000000" w:themeColor="text1"/>
        </w:rPr>
        <w:t xml:space="preserve"> budgets </w:t>
      </w:r>
      <w:r w:rsidR="769CBAAD" w:rsidRPr="16194CFB">
        <w:rPr>
          <w:rFonts w:asciiTheme="minorHAnsi" w:hAnsiTheme="minorHAnsi" w:cstheme="minorBidi"/>
          <w:color w:val="000000" w:themeColor="text1"/>
        </w:rPr>
        <w:t>are</w:t>
      </w:r>
      <w:r w:rsidRPr="16194CFB">
        <w:rPr>
          <w:rFonts w:asciiTheme="minorHAnsi" w:hAnsiTheme="minorHAnsi" w:cstheme="minorBidi"/>
          <w:color w:val="000000" w:themeColor="text1"/>
        </w:rPr>
        <w:t xml:space="preserve"> primarily due to its new needs package</w:t>
      </w:r>
      <w:r w:rsidR="50044264" w:rsidRPr="16194CFB">
        <w:rPr>
          <w:rFonts w:asciiTheme="minorHAnsi" w:hAnsiTheme="minorHAnsi" w:cstheme="minorBidi"/>
          <w:color w:val="000000" w:themeColor="text1"/>
        </w:rPr>
        <w:t>.</w:t>
      </w:r>
      <w:r w:rsidRPr="16194CFB">
        <w:rPr>
          <w:rFonts w:asciiTheme="minorHAnsi" w:hAnsiTheme="minorHAnsi" w:cstheme="minorBidi"/>
          <w:color w:val="000000" w:themeColor="text1"/>
        </w:rPr>
        <w:t xml:space="preserve"> </w:t>
      </w:r>
    </w:p>
    <w:p w14:paraId="3E231C0C" w14:textId="78E52E1C" w:rsidR="00A23E75" w:rsidRPr="006E0231" w:rsidRDefault="7C3BED3D" w:rsidP="16194CFB">
      <w:pPr>
        <w:spacing w:after="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Law Department </w:t>
      </w:r>
      <w:r w:rsidR="00A23E75" w:rsidRPr="16194CFB">
        <w:rPr>
          <w:rFonts w:asciiTheme="minorHAnsi" w:hAnsiTheme="minorHAnsi" w:cstheme="minorBidi"/>
          <w:b/>
          <w:bCs/>
          <w:color w:val="000000" w:themeColor="text1"/>
        </w:rPr>
        <w:t>New Needs</w:t>
      </w:r>
    </w:p>
    <w:p w14:paraId="1B66BA38" w14:textId="762E2CBB" w:rsidR="00A23E75" w:rsidRPr="006E0231" w:rsidRDefault="00A23E75" w:rsidP="00A46DC0">
      <w:pPr>
        <w:pStyle w:val="ListParagraph"/>
        <w:numPr>
          <w:ilvl w:val="0"/>
          <w:numId w:val="3"/>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Case Specific Needs. </w:t>
      </w:r>
      <w:r w:rsidR="00090F60" w:rsidRPr="16194CFB">
        <w:rPr>
          <w:rFonts w:asciiTheme="minorHAnsi" w:hAnsiTheme="minorHAnsi" w:cstheme="minorBidi"/>
          <w:color w:val="000000" w:themeColor="text1"/>
        </w:rPr>
        <w:t xml:space="preserve">The Executive Plan includes new needs of $5.4 million in Fiscal 2021, $47.3 million in Fiscal 2022, and </w:t>
      </w:r>
      <w:r w:rsidR="7F3C84EA" w:rsidRPr="16194CFB">
        <w:rPr>
          <w:rFonts w:asciiTheme="minorHAnsi" w:hAnsiTheme="minorHAnsi" w:cstheme="minorBidi"/>
          <w:color w:val="000000" w:themeColor="text1"/>
        </w:rPr>
        <w:t xml:space="preserve">a </w:t>
      </w:r>
      <w:r w:rsidR="00090F60" w:rsidRPr="16194CFB">
        <w:rPr>
          <w:rFonts w:asciiTheme="minorHAnsi" w:hAnsiTheme="minorHAnsi" w:cstheme="minorBidi"/>
          <w:color w:val="000000" w:themeColor="text1"/>
        </w:rPr>
        <w:t>baseline</w:t>
      </w:r>
      <w:r w:rsidR="62B85441" w:rsidRPr="16194CFB">
        <w:rPr>
          <w:rFonts w:asciiTheme="minorHAnsi" w:hAnsiTheme="minorHAnsi" w:cstheme="minorBidi"/>
          <w:color w:val="000000" w:themeColor="text1"/>
        </w:rPr>
        <w:t xml:space="preserve"> of</w:t>
      </w:r>
      <w:r w:rsidR="00090F60" w:rsidRPr="16194CFB">
        <w:rPr>
          <w:rFonts w:asciiTheme="minorHAnsi" w:hAnsiTheme="minorHAnsi" w:cstheme="minorBidi"/>
          <w:color w:val="000000" w:themeColor="text1"/>
        </w:rPr>
        <w:t xml:space="preserve"> $630,000 beginning in Fiscal 2023, along with seven positions baselined since Fiscal 2021, for case specific needs. The majority of this funding </w:t>
      </w:r>
      <w:proofErr w:type="gramStart"/>
      <w:r w:rsidR="00090F60" w:rsidRPr="16194CFB">
        <w:rPr>
          <w:rFonts w:asciiTheme="minorHAnsi" w:hAnsiTheme="minorHAnsi" w:cstheme="minorBidi"/>
          <w:color w:val="000000" w:themeColor="text1"/>
        </w:rPr>
        <w:t>is allocated</w:t>
      </w:r>
      <w:proofErr w:type="gramEnd"/>
      <w:r w:rsidR="00090F60" w:rsidRPr="16194CFB">
        <w:rPr>
          <w:rFonts w:asciiTheme="minorHAnsi" w:hAnsiTheme="minorHAnsi" w:cstheme="minorBidi"/>
          <w:color w:val="000000" w:themeColor="text1"/>
        </w:rPr>
        <w:t xml:space="preserve"> to cover costs associated with court appointed monitors, such as NYC vs. </w:t>
      </w:r>
      <w:proofErr w:type="spellStart"/>
      <w:r w:rsidR="00090F60" w:rsidRPr="16194CFB">
        <w:rPr>
          <w:rFonts w:asciiTheme="minorHAnsi" w:hAnsiTheme="minorHAnsi" w:cstheme="minorBidi"/>
          <w:color w:val="000000" w:themeColor="text1"/>
        </w:rPr>
        <w:t>Gulino</w:t>
      </w:r>
      <w:proofErr w:type="spellEnd"/>
      <w:r w:rsidR="00090F60" w:rsidRPr="16194CFB">
        <w:rPr>
          <w:rFonts w:asciiTheme="minorHAnsi" w:hAnsiTheme="minorHAnsi" w:cstheme="minorBidi"/>
          <w:color w:val="000000" w:themeColor="text1"/>
        </w:rPr>
        <w:t xml:space="preserve">, NYC vs. </w:t>
      </w:r>
      <w:proofErr w:type="spellStart"/>
      <w:r w:rsidR="00090F60" w:rsidRPr="16194CFB">
        <w:rPr>
          <w:rFonts w:asciiTheme="minorHAnsi" w:hAnsiTheme="minorHAnsi" w:cstheme="minorBidi"/>
          <w:color w:val="000000" w:themeColor="text1"/>
        </w:rPr>
        <w:t>Nuñez</w:t>
      </w:r>
      <w:proofErr w:type="spellEnd"/>
      <w:r w:rsidR="00090F60" w:rsidRPr="16194CFB">
        <w:rPr>
          <w:rFonts w:asciiTheme="minorHAnsi" w:hAnsiTheme="minorHAnsi" w:cstheme="minorBidi"/>
          <w:color w:val="000000" w:themeColor="text1"/>
        </w:rPr>
        <w:t xml:space="preserve">, NYC vs. Vulcan, NYC vs. Floyd, among other major cases. Additionally, the baselined headcount and baselined $630,000 in funding </w:t>
      </w:r>
      <w:proofErr w:type="gramStart"/>
      <w:r w:rsidR="00090F60" w:rsidRPr="16194CFB">
        <w:rPr>
          <w:rFonts w:asciiTheme="minorHAnsi" w:hAnsiTheme="minorHAnsi" w:cstheme="minorBidi"/>
          <w:color w:val="000000" w:themeColor="text1"/>
        </w:rPr>
        <w:t>is specifically allocated</w:t>
      </w:r>
      <w:proofErr w:type="gramEnd"/>
      <w:r w:rsidR="00090F60" w:rsidRPr="16194CFB">
        <w:rPr>
          <w:rFonts w:asciiTheme="minorHAnsi" w:hAnsiTheme="minorHAnsi" w:cstheme="minorBidi"/>
          <w:color w:val="000000" w:themeColor="text1"/>
        </w:rPr>
        <w:t xml:space="preserve"> to deal with cases associated with the Black Lives Matter (BLM) protests. </w:t>
      </w:r>
    </w:p>
    <w:p w14:paraId="7CBCC0A1" w14:textId="40BFC7E4" w:rsidR="00A23E75" w:rsidRPr="006E0231" w:rsidRDefault="00A23E75" w:rsidP="00A46DC0">
      <w:pPr>
        <w:pStyle w:val="ListParagraph"/>
        <w:numPr>
          <w:ilvl w:val="0"/>
          <w:numId w:val="3"/>
        </w:numPr>
        <w:spacing w:before="120"/>
        <w:contextualSpacing w:val="0"/>
        <w:jc w:val="both"/>
        <w:rPr>
          <w:rFonts w:asciiTheme="minorHAnsi" w:hAnsiTheme="minorHAnsi" w:cstheme="minorBidi"/>
          <w:b/>
          <w:bCs/>
          <w:color w:val="000000" w:themeColor="text1"/>
        </w:rPr>
      </w:pPr>
      <w:r w:rsidRPr="006E0231">
        <w:rPr>
          <w:rFonts w:asciiTheme="minorHAnsi" w:hAnsiTheme="minorHAnsi" w:cstheme="minorBidi"/>
          <w:b/>
          <w:bCs/>
          <w:color w:val="000000" w:themeColor="text1"/>
        </w:rPr>
        <w:t xml:space="preserve">Charter Revision Commission. </w:t>
      </w:r>
      <w:r w:rsidR="001A1E04" w:rsidRPr="006E0231">
        <w:rPr>
          <w:rFonts w:asciiTheme="minorHAnsi" w:hAnsiTheme="minorHAnsi" w:cstheme="minorBidi"/>
          <w:color w:val="000000" w:themeColor="text1"/>
        </w:rPr>
        <w:t xml:space="preserve">The Executive Plan includes one-time new needs of $1.5 million in Fiscal 2022 for the Charter Revision Commission. This funding </w:t>
      </w:r>
      <w:proofErr w:type="gramStart"/>
      <w:r w:rsidR="001A1E04" w:rsidRPr="006E0231">
        <w:rPr>
          <w:rFonts w:asciiTheme="minorHAnsi" w:hAnsiTheme="minorHAnsi" w:cstheme="minorBidi"/>
          <w:color w:val="000000" w:themeColor="text1"/>
        </w:rPr>
        <w:t>has been allocated</w:t>
      </w:r>
      <w:proofErr w:type="gramEnd"/>
      <w:r w:rsidR="001A1E04" w:rsidRPr="006E0231">
        <w:rPr>
          <w:rFonts w:asciiTheme="minorHAnsi" w:hAnsiTheme="minorHAnsi" w:cstheme="minorBidi"/>
          <w:color w:val="000000" w:themeColor="text1"/>
        </w:rPr>
        <w:t xml:space="preserve"> for marketing, advertising, and other potential costs incurred by the Charter Revision Commission for the potential input of any ballot proposal that may require a citywide election vote for any 2021-2022 elections. </w:t>
      </w:r>
    </w:p>
    <w:p w14:paraId="2AC5FFE3" w14:textId="62DE8727" w:rsidR="006E0231" w:rsidRPr="00A46DC0" w:rsidRDefault="00A23E75" w:rsidP="00A46DC0">
      <w:pPr>
        <w:pStyle w:val="ListParagraph"/>
        <w:numPr>
          <w:ilvl w:val="0"/>
          <w:numId w:val="3"/>
        </w:numPr>
        <w:spacing w:before="120"/>
        <w:contextualSpacing w:val="0"/>
        <w:jc w:val="both"/>
        <w:rPr>
          <w:rFonts w:asciiTheme="minorHAnsi" w:hAnsiTheme="minorHAnsi" w:cstheme="minorBidi"/>
          <w:b/>
          <w:bCs/>
          <w:color w:val="000000" w:themeColor="text1"/>
        </w:rPr>
      </w:pPr>
      <w:proofErr w:type="gramStart"/>
      <w:r w:rsidRPr="006E0231">
        <w:rPr>
          <w:rFonts w:asciiTheme="minorHAnsi" w:hAnsiTheme="minorHAnsi" w:cstheme="minorBidi"/>
          <w:b/>
          <w:bCs/>
          <w:color w:val="000000" w:themeColor="text1"/>
        </w:rPr>
        <w:t>Worker’s</w:t>
      </w:r>
      <w:proofErr w:type="gramEnd"/>
      <w:r w:rsidRPr="006E0231">
        <w:rPr>
          <w:rFonts w:asciiTheme="minorHAnsi" w:hAnsiTheme="minorHAnsi" w:cstheme="minorBidi"/>
          <w:b/>
          <w:bCs/>
          <w:color w:val="000000" w:themeColor="text1"/>
        </w:rPr>
        <w:t xml:space="preserve"> Comp System Update. </w:t>
      </w:r>
      <w:r w:rsidR="00E32A10" w:rsidRPr="006E0231">
        <w:rPr>
          <w:rFonts w:asciiTheme="minorHAnsi" w:hAnsiTheme="minorHAnsi" w:cstheme="minorBidi"/>
          <w:color w:val="000000" w:themeColor="text1"/>
        </w:rPr>
        <w:t xml:space="preserve">The Executive Plan includes one-time new needs of $151,000 in Fiscal 2022 to upgrade the workers comp system to provide electronic funds transfer (EFT) for any citywide worker complaint. </w:t>
      </w:r>
    </w:p>
    <w:p w14:paraId="1C5B91B0" w14:textId="0A0BF3B1" w:rsidR="00A23E75" w:rsidRPr="006E0231" w:rsidRDefault="206E4474" w:rsidP="00A46DC0">
      <w:pPr>
        <w:spacing w:before="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Law Department </w:t>
      </w:r>
      <w:r w:rsidR="00A23E75" w:rsidRPr="16194CFB">
        <w:rPr>
          <w:rFonts w:asciiTheme="minorHAnsi" w:hAnsiTheme="minorHAnsi" w:cstheme="minorBidi"/>
          <w:b/>
          <w:bCs/>
          <w:color w:val="000000" w:themeColor="text1"/>
        </w:rPr>
        <w:t>Other Adjustments</w:t>
      </w:r>
    </w:p>
    <w:p w14:paraId="71BB211C" w14:textId="79027691" w:rsidR="00B972AB" w:rsidRPr="006E0231" w:rsidRDefault="00B972AB" w:rsidP="00A46DC0">
      <w:pPr>
        <w:pStyle w:val="ListParagraph"/>
        <w:numPr>
          <w:ilvl w:val="0"/>
          <w:numId w:val="10"/>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Collective Bargaining. </w:t>
      </w:r>
      <w:r w:rsidRPr="16194CFB">
        <w:rPr>
          <w:rFonts w:asciiTheme="minorHAnsi" w:hAnsiTheme="minorHAnsi" w:cstheme="minorBidi"/>
          <w:color w:val="000000" w:themeColor="text1"/>
        </w:rPr>
        <w:t xml:space="preserve">The Fiscal 2022 Executive Budget includes baselined other adjustments of $25,689 beginning in Fiscal 2021 to address collective bargaining issues at the </w:t>
      </w:r>
      <w:r w:rsidR="5338F7A9" w:rsidRPr="16194CFB">
        <w:rPr>
          <w:rFonts w:asciiTheme="minorHAnsi" w:hAnsiTheme="minorHAnsi" w:cstheme="minorBidi"/>
          <w:color w:val="000000" w:themeColor="text1"/>
        </w:rPr>
        <w:t xml:space="preserve">Law </w:t>
      </w:r>
      <w:r w:rsidRPr="16194CFB">
        <w:rPr>
          <w:rFonts w:asciiTheme="minorHAnsi" w:hAnsiTheme="minorHAnsi" w:cstheme="minorBidi"/>
          <w:color w:val="000000" w:themeColor="text1"/>
        </w:rPr>
        <w:t>Department. This includes DC-37 workers</w:t>
      </w:r>
      <w:r w:rsidR="56735F68" w:rsidRPr="16194CFB">
        <w:rPr>
          <w:rFonts w:asciiTheme="minorHAnsi" w:hAnsiTheme="minorHAnsi" w:cstheme="minorBidi"/>
          <w:color w:val="000000" w:themeColor="text1"/>
        </w:rPr>
        <w:t xml:space="preserve"> and</w:t>
      </w:r>
      <w:r w:rsidRPr="16194CFB">
        <w:rPr>
          <w:rFonts w:asciiTheme="minorHAnsi" w:hAnsiTheme="minorHAnsi" w:cstheme="minorBidi"/>
          <w:color w:val="000000" w:themeColor="text1"/>
        </w:rPr>
        <w:t xml:space="preserve"> Local 375 workers among others. </w:t>
      </w:r>
    </w:p>
    <w:p w14:paraId="4B0685AE" w14:textId="2868B9B1" w:rsidR="00B972AB" w:rsidRPr="006E0231" w:rsidRDefault="00B972AB" w:rsidP="00A46DC0">
      <w:pPr>
        <w:pStyle w:val="ListParagraph"/>
        <w:numPr>
          <w:ilvl w:val="0"/>
          <w:numId w:val="10"/>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Coronavirus Relief Fund (CRF). </w:t>
      </w:r>
      <w:r w:rsidRPr="16194CFB">
        <w:rPr>
          <w:rFonts w:asciiTheme="minorHAnsi" w:hAnsiTheme="minorHAnsi" w:cstheme="minorBidi"/>
          <w:color w:val="000000" w:themeColor="text1"/>
        </w:rPr>
        <w:t xml:space="preserve">The Fiscal 2022 Executive Budget includes $1.3 million in Fiscal 2021 for the Coronavirus Relief Fund. This funding </w:t>
      </w:r>
      <w:proofErr w:type="gramStart"/>
      <w:r w:rsidRPr="16194CFB">
        <w:rPr>
          <w:rFonts w:asciiTheme="minorHAnsi" w:hAnsiTheme="minorHAnsi" w:cstheme="minorBidi"/>
          <w:color w:val="000000" w:themeColor="text1"/>
        </w:rPr>
        <w:t>has been</w:t>
      </w:r>
      <w:r w:rsidR="006E0231" w:rsidRPr="16194CFB">
        <w:rPr>
          <w:rFonts w:asciiTheme="minorHAnsi" w:hAnsiTheme="minorHAnsi" w:cstheme="minorBidi"/>
          <w:color w:val="000000" w:themeColor="text1"/>
        </w:rPr>
        <w:t xml:space="preserve"> primarily allocated</w:t>
      </w:r>
      <w:proofErr w:type="gramEnd"/>
      <w:r w:rsidR="006E0231" w:rsidRPr="16194CFB">
        <w:rPr>
          <w:rFonts w:asciiTheme="minorHAnsi" w:hAnsiTheme="minorHAnsi" w:cstheme="minorBidi"/>
          <w:color w:val="000000" w:themeColor="text1"/>
        </w:rPr>
        <w:t xml:space="preserve"> for PS purposes,</w:t>
      </w:r>
      <w:r w:rsidRPr="16194CFB">
        <w:rPr>
          <w:rFonts w:asciiTheme="minorHAnsi" w:hAnsiTheme="minorHAnsi" w:cstheme="minorBidi"/>
          <w:color w:val="000000" w:themeColor="text1"/>
        </w:rPr>
        <w:t xml:space="preserve"> to </w:t>
      </w:r>
      <w:r w:rsidR="00090F60" w:rsidRPr="16194CFB">
        <w:rPr>
          <w:rFonts w:asciiTheme="minorHAnsi" w:hAnsiTheme="minorHAnsi" w:cstheme="minorBidi"/>
          <w:color w:val="000000" w:themeColor="text1"/>
        </w:rPr>
        <w:t xml:space="preserve">cover the </w:t>
      </w:r>
      <w:r w:rsidR="1C92A73A" w:rsidRPr="16194CFB">
        <w:rPr>
          <w:rFonts w:asciiTheme="minorHAnsi" w:hAnsiTheme="minorHAnsi" w:cstheme="minorBidi"/>
          <w:color w:val="000000" w:themeColor="text1"/>
        </w:rPr>
        <w:t xml:space="preserve">Law </w:t>
      </w:r>
      <w:r w:rsidR="00090F60" w:rsidRPr="16194CFB">
        <w:rPr>
          <w:rFonts w:asciiTheme="minorHAnsi" w:hAnsiTheme="minorHAnsi" w:cstheme="minorBidi"/>
          <w:color w:val="000000" w:themeColor="text1"/>
        </w:rPr>
        <w:t xml:space="preserve">Department’s overtime expenses for </w:t>
      </w:r>
      <w:r w:rsidRPr="16194CFB">
        <w:rPr>
          <w:rFonts w:asciiTheme="minorHAnsi" w:hAnsiTheme="minorHAnsi" w:cstheme="minorBidi"/>
          <w:color w:val="000000" w:themeColor="text1"/>
        </w:rPr>
        <w:t>Law Department workers who worked on COVID-19 related issues on top of their normal work duties</w:t>
      </w:r>
      <w:r w:rsidR="00E633B5" w:rsidRPr="16194CFB">
        <w:rPr>
          <w:rFonts w:asciiTheme="minorHAnsi" w:hAnsiTheme="minorHAnsi" w:cstheme="minorBidi"/>
          <w:color w:val="000000" w:themeColor="text1"/>
        </w:rPr>
        <w:t>, such as working at City vaccine hubs</w:t>
      </w:r>
      <w:r w:rsidRPr="16194CFB">
        <w:rPr>
          <w:rFonts w:asciiTheme="minorHAnsi" w:hAnsiTheme="minorHAnsi" w:cstheme="minorBidi"/>
          <w:color w:val="000000" w:themeColor="text1"/>
        </w:rPr>
        <w:t xml:space="preserve">. </w:t>
      </w:r>
    </w:p>
    <w:p w14:paraId="2DD18CD2" w14:textId="6BE8BCFB" w:rsidR="00B972AB" w:rsidRPr="006E0231" w:rsidRDefault="00B972AB" w:rsidP="00A46DC0">
      <w:pPr>
        <w:pStyle w:val="ListParagraph"/>
        <w:numPr>
          <w:ilvl w:val="0"/>
          <w:numId w:val="10"/>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Heat, Light and Power. </w:t>
      </w:r>
      <w:r w:rsidRPr="16194CFB">
        <w:rPr>
          <w:rFonts w:asciiTheme="minorHAnsi" w:hAnsiTheme="minorHAnsi" w:cstheme="minorBidi"/>
          <w:color w:val="000000" w:themeColor="text1"/>
        </w:rPr>
        <w:t xml:space="preserve">The Fiscal 2022 Executive Budget includes a decrease of $45,319 in Fiscal 2021, and a funding </w:t>
      </w:r>
      <w:proofErr w:type="gramStart"/>
      <w:r w:rsidRPr="16194CFB">
        <w:rPr>
          <w:rFonts w:asciiTheme="minorHAnsi" w:hAnsiTheme="minorHAnsi" w:cstheme="minorBidi"/>
          <w:color w:val="000000" w:themeColor="text1"/>
        </w:rPr>
        <w:t>adjustment which</w:t>
      </w:r>
      <w:proofErr w:type="gramEnd"/>
      <w:r w:rsidRPr="16194CFB">
        <w:rPr>
          <w:rFonts w:asciiTheme="minorHAnsi" w:hAnsiTheme="minorHAnsi" w:cstheme="minorBidi"/>
          <w:color w:val="000000" w:themeColor="text1"/>
        </w:rPr>
        <w:t xml:space="preserve"> increases the </w:t>
      </w:r>
      <w:r w:rsidR="4741CFBE" w:rsidRPr="16194CFB">
        <w:rPr>
          <w:rFonts w:asciiTheme="minorHAnsi" w:hAnsiTheme="minorHAnsi" w:cstheme="minorBidi"/>
          <w:color w:val="000000" w:themeColor="text1"/>
        </w:rPr>
        <w:t xml:space="preserve">Law </w:t>
      </w:r>
      <w:r w:rsidRPr="16194CFB">
        <w:rPr>
          <w:rFonts w:asciiTheme="minorHAnsi" w:hAnsiTheme="minorHAnsi" w:cstheme="minorBidi"/>
          <w:color w:val="000000" w:themeColor="text1"/>
        </w:rPr>
        <w:t xml:space="preserve">Department’s heat, light and power budget by $44,776 beginning in Fiscal 2022. </w:t>
      </w:r>
    </w:p>
    <w:p w14:paraId="10740C4D" w14:textId="1FBE48FD" w:rsidR="00A23E75" w:rsidRPr="006E0231" w:rsidRDefault="00B972AB" w:rsidP="00A46DC0">
      <w:pPr>
        <w:pStyle w:val="ListParagraph"/>
        <w:numPr>
          <w:ilvl w:val="0"/>
          <w:numId w:val="10"/>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lastRenderedPageBreak/>
        <w:t xml:space="preserve">Lease Adjustment. </w:t>
      </w:r>
      <w:r w:rsidRPr="16194CFB">
        <w:rPr>
          <w:rFonts w:asciiTheme="minorHAnsi" w:hAnsiTheme="minorHAnsi" w:cstheme="minorBidi"/>
          <w:color w:val="000000" w:themeColor="text1"/>
        </w:rPr>
        <w:t xml:space="preserve">The Fiscal 2022 Executive Budget includes a baselined increase of $28,540 beginning in Fiscal 2022 for increased lease expenditures at different </w:t>
      </w:r>
      <w:r w:rsidR="38429D3F" w:rsidRPr="16194CFB">
        <w:rPr>
          <w:rFonts w:asciiTheme="minorHAnsi" w:hAnsiTheme="minorHAnsi" w:cstheme="minorBidi"/>
          <w:color w:val="000000" w:themeColor="text1"/>
        </w:rPr>
        <w:t xml:space="preserve">Law </w:t>
      </w:r>
      <w:r w:rsidRPr="16194CFB">
        <w:rPr>
          <w:rFonts w:asciiTheme="minorHAnsi" w:hAnsiTheme="minorHAnsi" w:cstheme="minorBidi"/>
          <w:color w:val="000000" w:themeColor="text1"/>
        </w:rPr>
        <w:t xml:space="preserve">Department locations across the City. </w:t>
      </w:r>
    </w:p>
    <w:p w14:paraId="0D922C44" w14:textId="77777777" w:rsidR="00090F60" w:rsidRPr="006E0231" w:rsidRDefault="00090F60" w:rsidP="006E0231">
      <w:pPr>
        <w:pStyle w:val="ListParagraph"/>
        <w:spacing w:after="120"/>
        <w:jc w:val="both"/>
        <w:rPr>
          <w:rFonts w:asciiTheme="minorHAnsi" w:hAnsiTheme="minorHAnsi" w:cstheme="minorBidi"/>
          <w:b/>
          <w:bCs/>
          <w:color w:val="000000" w:themeColor="text1"/>
        </w:rPr>
      </w:pPr>
    </w:p>
    <w:p w14:paraId="7D432A15" w14:textId="77777777" w:rsidR="00F705D7" w:rsidRDefault="00F705D7">
      <w:pPr>
        <w:rPr>
          <w:rFonts w:asciiTheme="minorHAnsi" w:hAnsiTheme="minorHAnsi" w:cstheme="minorBidi"/>
          <w:b/>
          <w:bCs/>
          <w:color w:val="4472C4" w:themeColor="accent1"/>
          <w:sz w:val="28"/>
          <w:szCs w:val="28"/>
          <w:shd w:val="clear" w:color="auto" w:fill="FFFFFF"/>
        </w:rPr>
      </w:pPr>
      <w:r>
        <w:rPr>
          <w:rFonts w:asciiTheme="minorHAnsi" w:hAnsiTheme="minorHAnsi" w:cstheme="minorBidi"/>
          <w:b/>
          <w:bCs/>
          <w:color w:val="4472C4" w:themeColor="accent1"/>
          <w:sz w:val="28"/>
          <w:szCs w:val="28"/>
          <w:shd w:val="clear" w:color="auto" w:fill="FFFFFF"/>
        </w:rPr>
        <w:br w:type="page"/>
      </w:r>
    </w:p>
    <w:p w14:paraId="2B78C59A" w14:textId="0B23F38D" w:rsidR="00A23E75" w:rsidRPr="006E0231" w:rsidRDefault="00A23E75" w:rsidP="006E0231">
      <w:pPr>
        <w:spacing w:before="120"/>
        <w:jc w:val="both"/>
        <w:rPr>
          <w:rFonts w:asciiTheme="minorHAnsi" w:hAnsiTheme="minorHAnsi" w:cstheme="minorBidi"/>
          <w:b/>
          <w:bCs/>
          <w:color w:val="4472C4" w:themeColor="accent1"/>
          <w:sz w:val="28"/>
          <w:szCs w:val="28"/>
          <w:shd w:val="clear" w:color="auto" w:fill="FFFFFF"/>
        </w:rPr>
      </w:pPr>
      <w:r w:rsidRPr="006E0231">
        <w:rPr>
          <w:rFonts w:asciiTheme="minorHAnsi" w:hAnsiTheme="minorHAnsi" w:cstheme="minorBidi"/>
          <w:b/>
          <w:bCs/>
          <w:color w:val="4472C4" w:themeColor="accent1"/>
          <w:sz w:val="28"/>
          <w:szCs w:val="28"/>
          <w:shd w:val="clear" w:color="auto" w:fill="FFFFFF"/>
        </w:rPr>
        <w:t>Financial Information Services Agency (FISA)</w:t>
      </w:r>
    </w:p>
    <w:p w14:paraId="7E6A049D" w14:textId="1E511C7E" w:rsidR="005F5B8C" w:rsidRPr="006E0231" w:rsidRDefault="00A23E75" w:rsidP="006E0231">
      <w:pPr>
        <w:spacing w:after="120"/>
        <w:jc w:val="both"/>
        <w:rPr>
          <w:rFonts w:asciiTheme="minorHAnsi" w:hAnsiTheme="minorHAnsi" w:cstheme="minorBidi"/>
          <w:color w:val="000000" w:themeColor="text1"/>
        </w:rPr>
      </w:pPr>
      <w:r w:rsidRPr="006E0231">
        <w:rPr>
          <w:rFonts w:asciiTheme="minorHAnsi" w:hAnsiTheme="minorHAnsi" w:cstheme="minorBidi"/>
          <w:color w:val="000000" w:themeColor="text1"/>
        </w:rPr>
        <w:t>FISA’s Fiscal 2022 budget, as of the release of the Executive budget, totals $112.7 million, including $50.6 million in Personal Services (PS) funding to support 430 full-time positions, and $62 million in Other Than Personal Services (</w:t>
      </w:r>
      <w:r w:rsidR="00EB2470" w:rsidRPr="006E0231">
        <w:rPr>
          <w:rFonts w:asciiTheme="minorHAnsi" w:hAnsiTheme="minorHAnsi" w:cstheme="minorBidi"/>
          <w:color w:val="000000" w:themeColor="text1"/>
        </w:rPr>
        <w:t>OT</w:t>
      </w:r>
      <w:r w:rsidRPr="006E0231">
        <w:rPr>
          <w:rFonts w:asciiTheme="minorHAnsi" w:hAnsiTheme="minorHAnsi" w:cstheme="minorBidi"/>
          <w:color w:val="000000" w:themeColor="text1"/>
        </w:rPr>
        <w:t xml:space="preserve">PS) funding. Below is a table detailing FISA’s 5-year budget as of the release of the Fiscal 2022 Executive Budget, compared to its Fiscal 2022 Preliminary Budget. </w:t>
      </w:r>
    </w:p>
    <w:tbl>
      <w:tblPr>
        <w:tblW w:w="8922" w:type="dxa"/>
        <w:tblLook w:val="04A0" w:firstRow="1" w:lastRow="0" w:firstColumn="1" w:lastColumn="0" w:noHBand="0" w:noVBand="1"/>
      </w:tblPr>
      <w:tblGrid>
        <w:gridCol w:w="2092"/>
        <w:gridCol w:w="1366"/>
        <w:gridCol w:w="1366"/>
        <w:gridCol w:w="1366"/>
        <w:gridCol w:w="1366"/>
        <w:gridCol w:w="1366"/>
      </w:tblGrid>
      <w:tr w:rsidR="005F5B8C" w:rsidRPr="006E0231" w14:paraId="270B9800" w14:textId="77777777" w:rsidTr="00A46DC0">
        <w:trPr>
          <w:trHeight w:val="144"/>
        </w:trPr>
        <w:tc>
          <w:tcPr>
            <w:tcW w:w="89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127AC" w14:textId="77777777" w:rsidR="005F5B8C" w:rsidRPr="006E0231" w:rsidRDefault="005F5B8C" w:rsidP="006E0231">
            <w:pPr>
              <w:jc w:val="center"/>
              <w:rPr>
                <w:rFonts w:asciiTheme="minorHAnsi" w:hAnsiTheme="minorHAnsi" w:cs="Calibri"/>
                <w:b/>
                <w:bCs/>
                <w:color w:val="0070C0"/>
              </w:rPr>
            </w:pPr>
            <w:r w:rsidRPr="006E0231">
              <w:rPr>
                <w:rFonts w:asciiTheme="minorHAnsi" w:hAnsiTheme="minorHAnsi" w:cs="Calibri"/>
                <w:b/>
                <w:bCs/>
                <w:color w:val="0070C0"/>
              </w:rPr>
              <w:t>Financial Information Services Agency (FISA)</w:t>
            </w:r>
          </w:p>
        </w:tc>
      </w:tr>
      <w:tr w:rsidR="005F5B8C" w:rsidRPr="006E0231" w14:paraId="2FFF5C08" w14:textId="77777777" w:rsidTr="00A46DC0">
        <w:trPr>
          <w:trHeight w:val="144"/>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02D2F96B" w14:textId="15B4C9BD" w:rsidR="005F5B8C" w:rsidRPr="006E0231" w:rsidRDefault="005F5B8C" w:rsidP="006E0231">
            <w:pPr>
              <w:jc w:val="both"/>
              <w:rPr>
                <w:rFonts w:asciiTheme="minorHAnsi" w:hAnsiTheme="minorHAnsi" w:cs="Calibri"/>
                <w:b/>
                <w:bCs/>
                <w:color w:val="000000"/>
                <w:sz w:val="20"/>
                <w:szCs w:val="20"/>
              </w:rPr>
            </w:pPr>
            <w:r w:rsidRPr="006E0231">
              <w:rPr>
                <w:rFonts w:asciiTheme="minorHAnsi" w:hAnsiTheme="minorHAnsi" w:cs="Calibri"/>
                <w:b/>
                <w:bCs/>
                <w:color w:val="000000"/>
                <w:sz w:val="20"/>
                <w:szCs w:val="20"/>
              </w:rPr>
              <w:t> Dollars in Thousands</w:t>
            </w:r>
          </w:p>
        </w:tc>
        <w:tc>
          <w:tcPr>
            <w:tcW w:w="1366" w:type="dxa"/>
            <w:tcBorders>
              <w:top w:val="nil"/>
              <w:left w:val="nil"/>
              <w:bottom w:val="single" w:sz="4" w:space="0" w:color="auto"/>
              <w:right w:val="single" w:sz="4" w:space="0" w:color="auto"/>
            </w:tcBorders>
            <w:shd w:val="clear" w:color="auto" w:fill="auto"/>
            <w:noWrap/>
            <w:vAlign w:val="center"/>
            <w:hideMark/>
          </w:tcPr>
          <w:p w14:paraId="72B720EF" w14:textId="77777777" w:rsidR="005F5B8C" w:rsidRPr="006E0231" w:rsidRDefault="005F5B8C" w:rsidP="006E0231">
            <w:pPr>
              <w:jc w:val="center"/>
              <w:rPr>
                <w:rFonts w:asciiTheme="minorHAnsi" w:hAnsiTheme="minorHAnsi" w:cs="Calibri"/>
                <w:b/>
                <w:bCs/>
                <w:color w:val="000000"/>
              </w:rPr>
            </w:pPr>
            <w:r w:rsidRPr="006E0231">
              <w:rPr>
                <w:rFonts w:asciiTheme="minorHAnsi" w:hAnsiTheme="minorHAnsi" w:cs="Calibri"/>
                <w:b/>
                <w:bCs/>
                <w:color w:val="000000"/>
              </w:rPr>
              <w:t>FY21</w:t>
            </w:r>
          </w:p>
        </w:tc>
        <w:tc>
          <w:tcPr>
            <w:tcW w:w="1366" w:type="dxa"/>
            <w:tcBorders>
              <w:top w:val="nil"/>
              <w:left w:val="nil"/>
              <w:bottom w:val="single" w:sz="4" w:space="0" w:color="auto"/>
              <w:right w:val="single" w:sz="4" w:space="0" w:color="auto"/>
            </w:tcBorders>
            <w:shd w:val="clear" w:color="auto" w:fill="auto"/>
            <w:noWrap/>
            <w:vAlign w:val="center"/>
            <w:hideMark/>
          </w:tcPr>
          <w:p w14:paraId="76777153" w14:textId="77777777" w:rsidR="005F5B8C" w:rsidRPr="006E0231" w:rsidRDefault="005F5B8C" w:rsidP="006E0231">
            <w:pPr>
              <w:jc w:val="center"/>
              <w:rPr>
                <w:rFonts w:asciiTheme="minorHAnsi" w:hAnsiTheme="minorHAnsi" w:cs="Calibri"/>
                <w:b/>
                <w:bCs/>
                <w:color w:val="000000"/>
              </w:rPr>
            </w:pPr>
            <w:r w:rsidRPr="006E0231">
              <w:rPr>
                <w:rFonts w:asciiTheme="minorHAnsi" w:hAnsiTheme="minorHAnsi" w:cs="Calibri"/>
                <w:b/>
                <w:bCs/>
                <w:color w:val="000000"/>
              </w:rPr>
              <w:t>FY22</w:t>
            </w:r>
          </w:p>
        </w:tc>
        <w:tc>
          <w:tcPr>
            <w:tcW w:w="1366" w:type="dxa"/>
            <w:tcBorders>
              <w:top w:val="nil"/>
              <w:left w:val="nil"/>
              <w:bottom w:val="single" w:sz="4" w:space="0" w:color="auto"/>
              <w:right w:val="single" w:sz="4" w:space="0" w:color="auto"/>
            </w:tcBorders>
            <w:shd w:val="clear" w:color="auto" w:fill="auto"/>
            <w:noWrap/>
            <w:vAlign w:val="center"/>
            <w:hideMark/>
          </w:tcPr>
          <w:p w14:paraId="5F4381B3" w14:textId="77777777" w:rsidR="005F5B8C" w:rsidRPr="006E0231" w:rsidRDefault="005F5B8C" w:rsidP="006E0231">
            <w:pPr>
              <w:jc w:val="center"/>
              <w:rPr>
                <w:rFonts w:asciiTheme="minorHAnsi" w:hAnsiTheme="minorHAnsi" w:cs="Calibri"/>
                <w:b/>
                <w:bCs/>
                <w:color w:val="000000"/>
              </w:rPr>
            </w:pPr>
            <w:r w:rsidRPr="006E0231">
              <w:rPr>
                <w:rFonts w:asciiTheme="minorHAnsi" w:hAnsiTheme="minorHAnsi" w:cs="Calibri"/>
                <w:b/>
                <w:bCs/>
                <w:color w:val="000000"/>
              </w:rPr>
              <w:t>FY23</w:t>
            </w:r>
          </w:p>
        </w:tc>
        <w:tc>
          <w:tcPr>
            <w:tcW w:w="1366" w:type="dxa"/>
            <w:tcBorders>
              <w:top w:val="nil"/>
              <w:left w:val="nil"/>
              <w:bottom w:val="single" w:sz="4" w:space="0" w:color="auto"/>
              <w:right w:val="single" w:sz="4" w:space="0" w:color="auto"/>
            </w:tcBorders>
            <w:shd w:val="clear" w:color="auto" w:fill="auto"/>
            <w:noWrap/>
            <w:vAlign w:val="center"/>
            <w:hideMark/>
          </w:tcPr>
          <w:p w14:paraId="3BD3964E" w14:textId="77777777" w:rsidR="005F5B8C" w:rsidRPr="006E0231" w:rsidRDefault="005F5B8C" w:rsidP="006E0231">
            <w:pPr>
              <w:jc w:val="center"/>
              <w:rPr>
                <w:rFonts w:asciiTheme="minorHAnsi" w:hAnsiTheme="minorHAnsi" w:cs="Calibri"/>
                <w:b/>
                <w:bCs/>
                <w:color w:val="000000"/>
              </w:rPr>
            </w:pPr>
            <w:r w:rsidRPr="006E0231">
              <w:rPr>
                <w:rFonts w:asciiTheme="minorHAnsi" w:hAnsiTheme="minorHAnsi" w:cs="Calibri"/>
                <w:b/>
                <w:bCs/>
                <w:color w:val="000000"/>
              </w:rPr>
              <w:t>FY24</w:t>
            </w:r>
          </w:p>
        </w:tc>
        <w:tc>
          <w:tcPr>
            <w:tcW w:w="1366" w:type="dxa"/>
            <w:tcBorders>
              <w:top w:val="nil"/>
              <w:left w:val="nil"/>
              <w:bottom w:val="single" w:sz="4" w:space="0" w:color="auto"/>
              <w:right w:val="single" w:sz="4" w:space="0" w:color="auto"/>
            </w:tcBorders>
            <w:shd w:val="clear" w:color="auto" w:fill="auto"/>
            <w:noWrap/>
            <w:vAlign w:val="center"/>
            <w:hideMark/>
          </w:tcPr>
          <w:p w14:paraId="3F3A05DA" w14:textId="77777777" w:rsidR="005F5B8C" w:rsidRPr="006E0231" w:rsidRDefault="005F5B8C" w:rsidP="006E0231">
            <w:pPr>
              <w:jc w:val="center"/>
              <w:rPr>
                <w:rFonts w:asciiTheme="minorHAnsi" w:hAnsiTheme="minorHAnsi" w:cs="Calibri"/>
                <w:b/>
                <w:bCs/>
                <w:color w:val="000000"/>
              </w:rPr>
            </w:pPr>
            <w:r w:rsidRPr="006E0231">
              <w:rPr>
                <w:rFonts w:asciiTheme="minorHAnsi" w:hAnsiTheme="minorHAnsi" w:cs="Calibri"/>
                <w:b/>
                <w:bCs/>
                <w:color w:val="000000"/>
              </w:rPr>
              <w:t>FY25</w:t>
            </w:r>
          </w:p>
        </w:tc>
      </w:tr>
      <w:tr w:rsidR="005F5B8C" w:rsidRPr="006E0231" w14:paraId="0675E45D" w14:textId="77777777" w:rsidTr="00A46DC0">
        <w:trPr>
          <w:trHeight w:val="144"/>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727A5E98" w14:textId="77777777" w:rsidR="005F5B8C" w:rsidRPr="006E0231" w:rsidRDefault="005F5B8C" w:rsidP="006E0231">
            <w:pPr>
              <w:jc w:val="both"/>
              <w:rPr>
                <w:rFonts w:asciiTheme="minorHAnsi" w:hAnsiTheme="minorHAnsi" w:cs="Calibri"/>
                <w:b/>
                <w:bCs/>
                <w:color w:val="0070C0"/>
              </w:rPr>
            </w:pPr>
            <w:r w:rsidRPr="006E0231">
              <w:rPr>
                <w:rFonts w:asciiTheme="minorHAnsi" w:hAnsiTheme="minorHAnsi" w:cs="Calibri"/>
                <w:b/>
                <w:bCs/>
                <w:color w:val="0070C0"/>
              </w:rPr>
              <w:t>FY22 Prelim</w:t>
            </w:r>
          </w:p>
        </w:tc>
        <w:tc>
          <w:tcPr>
            <w:tcW w:w="1366" w:type="dxa"/>
            <w:tcBorders>
              <w:top w:val="nil"/>
              <w:left w:val="nil"/>
              <w:bottom w:val="single" w:sz="4" w:space="0" w:color="auto"/>
              <w:right w:val="single" w:sz="4" w:space="0" w:color="auto"/>
            </w:tcBorders>
            <w:shd w:val="clear" w:color="auto" w:fill="auto"/>
            <w:noWrap/>
            <w:vAlign w:val="center"/>
            <w:hideMark/>
          </w:tcPr>
          <w:p w14:paraId="5B8BD631" w14:textId="29897613"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$112,028</w:t>
            </w:r>
          </w:p>
        </w:tc>
        <w:tc>
          <w:tcPr>
            <w:tcW w:w="1366" w:type="dxa"/>
            <w:tcBorders>
              <w:top w:val="nil"/>
              <w:left w:val="nil"/>
              <w:bottom w:val="single" w:sz="4" w:space="0" w:color="auto"/>
              <w:right w:val="single" w:sz="4" w:space="0" w:color="auto"/>
            </w:tcBorders>
            <w:shd w:val="clear" w:color="auto" w:fill="auto"/>
            <w:noWrap/>
            <w:vAlign w:val="center"/>
            <w:hideMark/>
          </w:tcPr>
          <w:p w14:paraId="1EA50213" w14:textId="63E7E223"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$110,801</w:t>
            </w:r>
          </w:p>
        </w:tc>
        <w:tc>
          <w:tcPr>
            <w:tcW w:w="1366" w:type="dxa"/>
            <w:tcBorders>
              <w:top w:val="nil"/>
              <w:left w:val="nil"/>
              <w:bottom w:val="single" w:sz="4" w:space="0" w:color="auto"/>
              <w:right w:val="single" w:sz="4" w:space="0" w:color="auto"/>
            </w:tcBorders>
            <w:shd w:val="clear" w:color="auto" w:fill="auto"/>
            <w:noWrap/>
            <w:vAlign w:val="center"/>
            <w:hideMark/>
          </w:tcPr>
          <w:p w14:paraId="3B4D5870" w14:textId="6581F177"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$110,951</w:t>
            </w:r>
          </w:p>
        </w:tc>
        <w:tc>
          <w:tcPr>
            <w:tcW w:w="1366" w:type="dxa"/>
            <w:tcBorders>
              <w:top w:val="nil"/>
              <w:left w:val="nil"/>
              <w:bottom w:val="single" w:sz="4" w:space="0" w:color="auto"/>
              <w:right w:val="single" w:sz="4" w:space="0" w:color="auto"/>
            </w:tcBorders>
            <w:shd w:val="clear" w:color="auto" w:fill="auto"/>
            <w:noWrap/>
            <w:vAlign w:val="center"/>
            <w:hideMark/>
          </w:tcPr>
          <w:p w14:paraId="214689BF" w14:textId="77C2C670"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$110,951</w:t>
            </w:r>
          </w:p>
        </w:tc>
        <w:tc>
          <w:tcPr>
            <w:tcW w:w="1366" w:type="dxa"/>
            <w:tcBorders>
              <w:top w:val="nil"/>
              <w:left w:val="nil"/>
              <w:bottom w:val="single" w:sz="4" w:space="0" w:color="auto"/>
              <w:right w:val="single" w:sz="4" w:space="0" w:color="auto"/>
            </w:tcBorders>
            <w:shd w:val="clear" w:color="auto" w:fill="auto"/>
            <w:noWrap/>
            <w:vAlign w:val="center"/>
            <w:hideMark/>
          </w:tcPr>
          <w:p w14:paraId="2A1F1BAF" w14:textId="6AB8A971"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$110,951</w:t>
            </w:r>
          </w:p>
        </w:tc>
      </w:tr>
      <w:tr w:rsidR="005F5B8C" w:rsidRPr="006E0231" w14:paraId="7442911F" w14:textId="77777777" w:rsidTr="00A46DC0">
        <w:trPr>
          <w:trHeight w:val="144"/>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73C68AD0" w14:textId="77777777" w:rsidR="005F5B8C" w:rsidRPr="006E0231" w:rsidRDefault="005F5B8C" w:rsidP="006E0231">
            <w:pPr>
              <w:jc w:val="both"/>
              <w:rPr>
                <w:rFonts w:asciiTheme="minorHAnsi" w:hAnsiTheme="minorHAnsi" w:cs="Calibri"/>
                <w:i/>
                <w:iCs/>
                <w:color w:val="000000"/>
              </w:rPr>
            </w:pPr>
            <w:r w:rsidRPr="006E0231">
              <w:rPr>
                <w:rFonts w:asciiTheme="minorHAnsi" w:hAnsiTheme="minorHAnsi" w:cs="Calibri"/>
                <w:i/>
                <w:iCs/>
                <w:color w:val="000000"/>
              </w:rPr>
              <w:t>New Needs</w:t>
            </w:r>
          </w:p>
        </w:tc>
        <w:tc>
          <w:tcPr>
            <w:tcW w:w="1366" w:type="dxa"/>
            <w:tcBorders>
              <w:top w:val="nil"/>
              <w:left w:val="nil"/>
              <w:bottom w:val="single" w:sz="4" w:space="0" w:color="auto"/>
              <w:right w:val="single" w:sz="4" w:space="0" w:color="auto"/>
            </w:tcBorders>
            <w:shd w:val="clear" w:color="auto" w:fill="auto"/>
            <w:noWrap/>
            <w:vAlign w:val="center"/>
            <w:hideMark/>
          </w:tcPr>
          <w:p w14:paraId="22C85542" w14:textId="49495394"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1,913</w:t>
            </w:r>
          </w:p>
        </w:tc>
        <w:tc>
          <w:tcPr>
            <w:tcW w:w="1366" w:type="dxa"/>
            <w:tcBorders>
              <w:top w:val="nil"/>
              <w:left w:val="nil"/>
              <w:bottom w:val="single" w:sz="4" w:space="0" w:color="auto"/>
              <w:right w:val="single" w:sz="4" w:space="0" w:color="auto"/>
            </w:tcBorders>
            <w:shd w:val="clear" w:color="auto" w:fill="auto"/>
            <w:noWrap/>
            <w:vAlign w:val="center"/>
            <w:hideMark/>
          </w:tcPr>
          <w:p w14:paraId="7A7B9D04" w14:textId="1D183474"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1,500</w:t>
            </w:r>
          </w:p>
        </w:tc>
        <w:tc>
          <w:tcPr>
            <w:tcW w:w="1366" w:type="dxa"/>
            <w:tcBorders>
              <w:top w:val="nil"/>
              <w:left w:val="nil"/>
              <w:bottom w:val="single" w:sz="4" w:space="0" w:color="auto"/>
              <w:right w:val="single" w:sz="4" w:space="0" w:color="auto"/>
            </w:tcBorders>
            <w:shd w:val="clear" w:color="auto" w:fill="auto"/>
            <w:noWrap/>
            <w:vAlign w:val="center"/>
            <w:hideMark/>
          </w:tcPr>
          <w:p w14:paraId="73438CB3" w14:textId="44A0F7E5"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1,500</w:t>
            </w:r>
          </w:p>
        </w:tc>
        <w:tc>
          <w:tcPr>
            <w:tcW w:w="1366" w:type="dxa"/>
            <w:tcBorders>
              <w:top w:val="nil"/>
              <w:left w:val="nil"/>
              <w:bottom w:val="single" w:sz="4" w:space="0" w:color="auto"/>
              <w:right w:val="single" w:sz="4" w:space="0" w:color="auto"/>
            </w:tcBorders>
            <w:shd w:val="clear" w:color="auto" w:fill="auto"/>
            <w:noWrap/>
            <w:vAlign w:val="center"/>
            <w:hideMark/>
          </w:tcPr>
          <w:p w14:paraId="01799EC0" w14:textId="6E52D70B"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1,500</w:t>
            </w:r>
          </w:p>
        </w:tc>
        <w:tc>
          <w:tcPr>
            <w:tcW w:w="1366" w:type="dxa"/>
            <w:tcBorders>
              <w:top w:val="nil"/>
              <w:left w:val="nil"/>
              <w:bottom w:val="single" w:sz="4" w:space="0" w:color="auto"/>
              <w:right w:val="single" w:sz="4" w:space="0" w:color="auto"/>
            </w:tcBorders>
            <w:shd w:val="clear" w:color="auto" w:fill="auto"/>
            <w:noWrap/>
            <w:vAlign w:val="center"/>
            <w:hideMark/>
          </w:tcPr>
          <w:p w14:paraId="31CBD8A2" w14:textId="7B10AC71"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1,500</w:t>
            </w:r>
          </w:p>
        </w:tc>
      </w:tr>
      <w:tr w:rsidR="005F5B8C" w:rsidRPr="006E0231" w14:paraId="3E60B5C3" w14:textId="77777777" w:rsidTr="00A46DC0">
        <w:trPr>
          <w:trHeight w:val="144"/>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38C64889" w14:textId="77777777" w:rsidR="005F5B8C" w:rsidRPr="006E0231" w:rsidRDefault="005F5B8C" w:rsidP="006E0231">
            <w:pPr>
              <w:jc w:val="both"/>
              <w:rPr>
                <w:rFonts w:asciiTheme="minorHAnsi" w:hAnsiTheme="minorHAnsi" w:cs="Calibri"/>
                <w:i/>
                <w:iCs/>
                <w:color w:val="000000"/>
              </w:rPr>
            </w:pPr>
            <w:r w:rsidRPr="006E0231">
              <w:rPr>
                <w:rFonts w:asciiTheme="minorHAnsi" w:hAnsiTheme="minorHAnsi" w:cs="Calibri"/>
                <w:i/>
                <w:iCs/>
                <w:color w:val="000000"/>
              </w:rPr>
              <w:t>Other Adjustments</w:t>
            </w:r>
          </w:p>
        </w:tc>
        <w:tc>
          <w:tcPr>
            <w:tcW w:w="1366" w:type="dxa"/>
            <w:tcBorders>
              <w:top w:val="nil"/>
              <w:left w:val="nil"/>
              <w:bottom w:val="single" w:sz="4" w:space="0" w:color="auto"/>
              <w:right w:val="single" w:sz="4" w:space="0" w:color="auto"/>
            </w:tcBorders>
            <w:shd w:val="clear" w:color="auto" w:fill="auto"/>
            <w:noWrap/>
            <w:vAlign w:val="center"/>
            <w:hideMark/>
          </w:tcPr>
          <w:p w14:paraId="29D99227" w14:textId="77777777"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(2,680)</w:t>
            </w:r>
          </w:p>
        </w:tc>
        <w:tc>
          <w:tcPr>
            <w:tcW w:w="1366" w:type="dxa"/>
            <w:tcBorders>
              <w:top w:val="nil"/>
              <w:left w:val="nil"/>
              <w:bottom w:val="single" w:sz="4" w:space="0" w:color="auto"/>
              <w:right w:val="single" w:sz="4" w:space="0" w:color="auto"/>
            </w:tcBorders>
            <w:shd w:val="clear" w:color="auto" w:fill="auto"/>
            <w:noWrap/>
            <w:vAlign w:val="center"/>
            <w:hideMark/>
          </w:tcPr>
          <w:p w14:paraId="1AC8A89A" w14:textId="49B4572C"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359</w:t>
            </w:r>
          </w:p>
        </w:tc>
        <w:tc>
          <w:tcPr>
            <w:tcW w:w="1366" w:type="dxa"/>
            <w:tcBorders>
              <w:top w:val="nil"/>
              <w:left w:val="nil"/>
              <w:bottom w:val="single" w:sz="4" w:space="0" w:color="auto"/>
              <w:right w:val="single" w:sz="4" w:space="0" w:color="auto"/>
            </w:tcBorders>
            <w:shd w:val="clear" w:color="auto" w:fill="auto"/>
            <w:noWrap/>
            <w:vAlign w:val="center"/>
            <w:hideMark/>
          </w:tcPr>
          <w:p w14:paraId="1EF8EBE5" w14:textId="26811105"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359</w:t>
            </w:r>
          </w:p>
        </w:tc>
        <w:tc>
          <w:tcPr>
            <w:tcW w:w="1366" w:type="dxa"/>
            <w:tcBorders>
              <w:top w:val="nil"/>
              <w:left w:val="nil"/>
              <w:bottom w:val="single" w:sz="4" w:space="0" w:color="auto"/>
              <w:right w:val="single" w:sz="4" w:space="0" w:color="auto"/>
            </w:tcBorders>
            <w:shd w:val="clear" w:color="auto" w:fill="auto"/>
            <w:noWrap/>
            <w:vAlign w:val="center"/>
            <w:hideMark/>
          </w:tcPr>
          <w:p w14:paraId="4E7E82C3" w14:textId="4076C515"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359</w:t>
            </w:r>
          </w:p>
        </w:tc>
        <w:tc>
          <w:tcPr>
            <w:tcW w:w="1366" w:type="dxa"/>
            <w:tcBorders>
              <w:top w:val="nil"/>
              <w:left w:val="nil"/>
              <w:bottom w:val="single" w:sz="4" w:space="0" w:color="auto"/>
              <w:right w:val="single" w:sz="4" w:space="0" w:color="auto"/>
            </w:tcBorders>
            <w:shd w:val="clear" w:color="auto" w:fill="auto"/>
            <w:noWrap/>
            <w:vAlign w:val="center"/>
            <w:hideMark/>
          </w:tcPr>
          <w:p w14:paraId="666B531F" w14:textId="27738F6C"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359</w:t>
            </w:r>
          </w:p>
        </w:tc>
      </w:tr>
      <w:tr w:rsidR="005F5B8C" w:rsidRPr="006E0231" w14:paraId="49EC0078" w14:textId="77777777" w:rsidTr="00A46DC0">
        <w:trPr>
          <w:trHeight w:val="144"/>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1F29CA17" w14:textId="77777777" w:rsidR="005F5B8C" w:rsidRPr="006E0231" w:rsidRDefault="005F5B8C" w:rsidP="006E0231">
            <w:pPr>
              <w:jc w:val="both"/>
              <w:rPr>
                <w:rFonts w:asciiTheme="minorHAnsi" w:hAnsiTheme="minorHAnsi" w:cs="Calibri"/>
                <w:i/>
                <w:iCs/>
                <w:color w:val="000000"/>
              </w:rPr>
            </w:pPr>
            <w:r w:rsidRPr="006E0231">
              <w:rPr>
                <w:rFonts w:asciiTheme="minorHAnsi" w:hAnsiTheme="minorHAnsi" w:cs="Calibri"/>
                <w:i/>
                <w:iCs/>
                <w:color w:val="000000"/>
              </w:rPr>
              <w:t>Savings</w:t>
            </w:r>
          </w:p>
        </w:tc>
        <w:tc>
          <w:tcPr>
            <w:tcW w:w="1366" w:type="dxa"/>
            <w:tcBorders>
              <w:top w:val="nil"/>
              <w:left w:val="nil"/>
              <w:bottom w:val="single" w:sz="4" w:space="0" w:color="auto"/>
              <w:right w:val="single" w:sz="4" w:space="0" w:color="auto"/>
            </w:tcBorders>
            <w:shd w:val="clear" w:color="auto" w:fill="auto"/>
            <w:noWrap/>
            <w:vAlign w:val="center"/>
            <w:hideMark/>
          </w:tcPr>
          <w:p w14:paraId="213A9C70" w14:textId="1751DF14"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6" w:type="dxa"/>
            <w:tcBorders>
              <w:top w:val="nil"/>
              <w:left w:val="nil"/>
              <w:bottom w:val="single" w:sz="4" w:space="0" w:color="auto"/>
              <w:right w:val="single" w:sz="4" w:space="0" w:color="auto"/>
            </w:tcBorders>
            <w:shd w:val="clear" w:color="auto" w:fill="auto"/>
            <w:noWrap/>
            <w:vAlign w:val="center"/>
            <w:hideMark/>
          </w:tcPr>
          <w:p w14:paraId="6090447C" w14:textId="3AE7C8A0"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6" w:type="dxa"/>
            <w:tcBorders>
              <w:top w:val="nil"/>
              <w:left w:val="nil"/>
              <w:bottom w:val="single" w:sz="4" w:space="0" w:color="auto"/>
              <w:right w:val="single" w:sz="4" w:space="0" w:color="auto"/>
            </w:tcBorders>
            <w:shd w:val="clear" w:color="auto" w:fill="auto"/>
            <w:noWrap/>
            <w:vAlign w:val="center"/>
            <w:hideMark/>
          </w:tcPr>
          <w:p w14:paraId="19A0340C" w14:textId="69086B1A"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6" w:type="dxa"/>
            <w:tcBorders>
              <w:top w:val="nil"/>
              <w:left w:val="nil"/>
              <w:bottom w:val="single" w:sz="4" w:space="0" w:color="auto"/>
              <w:right w:val="single" w:sz="4" w:space="0" w:color="auto"/>
            </w:tcBorders>
            <w:shd w:val="clear" w:color="auto" w:fill="auto"/>
            <w:noWrap/>
            <w:vAlign w:val="center"/>
            <w:hideMark/>
          </w:tcPr>
          <w:p w14:paraId="31F97286" w14:textId="0301C181"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6" w:type="dxa"/>
            <w:tcBorders>
              <w:top w:val="nil"/>
              <w:left w:val="nil"/>
              <w:bottom w:val="single" w:sz="4" w:space="0" w:color="auto"/>
              <w:right w:val="single" w:sz="4" w:space="0" w:color="auto"/>
            </w:tcBorders>
            <w:shd w:val="clear" w:color="auto" w:fill="auto"/>
            <w:noWrap/>
            <w:vAlign w:val="center"/>
            <w:hideMark/>
          </w:tcPr>
          <w:p w14:paraId="49AB4111" w14:textId="75692B68" w:rsidR="005F5B8C" w:rsidRPr="006E0231" w:rsidRDefault="005F5B8C"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5F5B8C" w:rsidRPr="006E0231" w14:paraId="73C688B7" w14:textId="77777777" w:rsidTr="00A46DC0">
        <w:trPr>
          <w:trHeight w:val="144"/>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7DDAC685" w14:textId="77777777" w:rsidR="005F5B8C" w:rsidRPr="006E0231" w:rsidRDefault="005F5B8C" w:rsidP="006E0231">
            <w:pPr>
              <w:jc w:val="both"/>
              <w:rPr>
                <w:rFonts w:asciiTheme="minorHAnsi" w:hAnsiTheme="minorHAnsi" w:cs="Calibri"/>
                <w:b/>
                <w:bCs/>
                <w:i/>
                <w:iCs/>
                <w:color w:val="000000"/>
              </w:rPr>
            </w:pPr>
            <w:r w:rsidRPr="006E0231">
              <w:rPr>
                <w:rFonts w:asciiTheme="minorHAnsi" w:hAnsiTheme="minorHAnsi" w:cs="Calibri"/>
                <w:b/>
                <w:bCs/>
                <w:i/>
                <w:iCs/>
                <w:color w:val="000000"/>
              </w:rPr>
              <w:t>Total Change</w:t>
            </w:r>
          </w:p>
        </w:tc>
        <w:tc>
          <w:tcPr>
            <w:tcW w:w="1366" w:type="dxa"/>
            <w:tcBorders>
              <w:top w:val="nil"/>
              <w:left w:val="nil"/>
              <w:bottom w:val="single" w:sz="4" w:space="0" w:color="auto"/>
              <w:right w:val="single" w:sz="4" w:space="0" w:color="auto"/>
            </w:tcBorders>
            <w:shd w:val="clear" w:color="auto" w:fill="auto"/>
            <w:noWrap/>
            <w:vAlign w:val="center"/>
            <w:hideMark/>
          </w:tcPr>
          <w:p w14:paraId="4CFECEBB" w14:textId="5EB321CD" w:rsidR="005F5B8C" w:rsidRPr="006E0231" w:rsidRDefault="005F5B8C"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$(767)</w:t>
            </w:r>
          </w:p>
        </w:tc>
        <w:tc>
          <w:tcPr>
            <w:tcW w:w="1366" w:type="dxa"/>
            <w:tcBorders>
              <w:top w:val="nil"/>
              <w:left w:val="nil"/>
              <w:bottom w:val="single" w:sz="4" w:space="0" w:color="auto"/>
              <w:right w:val="single" w:sz="4" w:space="0" w:color="auto"/>
            </w:tcBorders>
            <w:shd w:val="clear" w:color="auto" w:fill="auto"/>
            <w:noWrap/>
            <w:vAlign w:val="center"/>
            <w:hideMark/>
          </w:tcPr>
          <w:p w14:paraId="664DC3DB" w14:textId="2FB3C706" w:rsidR="005F5B8C" w:rsidRPr="006E0231" w:rsidRDefault="005F5B8C"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$1,859</w:t>
            </w:r>
          </w:p>
        </w:tc>
        <w:tc>
          <w:tcPr>
            <w:tcW w:w="1366" w:type="dxa"/>
            <w:tcBorders>
              <w:top w:val="nil"/>
              <w:left w:val="nil"/>
              <w:bottom w:val="single" w:sz="4" w:space="0" w:color="auto"/>
              <w:right w:val="single" w:sz="4" w:space="0" w:color="auto"/>
            </w:tcBorders>
            <w:shd w:val="clear" w:color="auto" w:fill="auto"/>
            <w:noWrap/>
            <w:vAlign w:val="center"/>
            <w:hideMark/>
          </w:tcPr>
          <w:p w14:paraId="505FA64A" w14:textId="1C20C439" w:rsidR="005F5B8C" w:rsidRPr="006E0231" w:rsidRDefault="005F5B8C"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$1,859</w:t>
            </w:r>
          </w:p>
        </w:tc>
        <w:tc>
          <w:tcPr>
            <w:tcW w:w="1366" w:type="dxa"/>
            <w:tcBorders>
              <w:top w:val="nil"/>
              <w:left w:val="nil"/>
              <w:bottom w:val="single" w:sz="4" w:space="0" w:color="auto"/>
              <w:right w:val="single" w:sz="4" w:space="0" w:color="auto"/>
            </w:tcBorders>
            <w:shd w:val="clear" w:color="auto" w:fill="auto"/>
            <w:noWrap/>
            <w:vAlign w:val="center"/>
            <w:hideMark/>
          </w:tcPr>
          <w:p w14:paraId="007B36C9" w14:textId="1B2E0998" w:rsidR="005F5B8C" w:rsidRPr="006E0231" w:rsidRDefault="005F5B8C"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$1,859</w:t>
            </w:r>
          </w:p>
        </w:tc>
        <w:tc>
          <w:tcPr>
            <w:tcW w:w="1366" w:type="dxa"/>
            <w:tcBorders>
              <w:top w:val="nil"/>
              <w:left w:val="nil"/>
              <w:bottom w:val="single" w:sz="4" w:space="0" w:color="auto"/>
              <w:right w:val="single" w:sz="4" w:space="0" w:color="auto"/>
            </w:tcBorders>
            <w:shd w:val="clear" w:color="auto" w:fill="auto"/>
            <w:noWrap/>
            <w:vAlign w:val="center"/>
            <w:hideMark/>
          </w:tcPr>
          <w:p w14:paraId="11F15E97" w14:textId="47F64A0F" w:rsidR="005F5B8C" w:rsidRPr="006E0231" w:rsidRDefault="005F5B8C"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$1,859</w:t>
            </w:r>
          </w:p>
        </w:tc>
      </w:tr>
      <w:tr w:rsidR="005F5B8C" w:rsidRPr="006E0231" w14:paraId="1D5E7BC7" w14:textId="77777777" w:rsidTr="00A46DC0">
        <w:trPr>
          <w:trHeight w:val="144"/>
        </w:trPr>
        <w:tc>
          <w:tcPr>
            <w:tcW w:w="2092" w:type="dxa"/>
            <w:tcBorders>
              <w:top w:val="nil"/>
              <w:left w:val="single" w:sz="4" w:space="0" w:color="auto"/>
              <w:bottom w:val="single" w:sz="4" w:space="0" w:color="auto"/>
              <w:right w:val="single" w:sz="4" w:space="0" w:color="auto"/>
            </w:tcBorders>
            <w:shd w:val="clear" w:color="auto" w:fill="auto"/>
            <w:noWrap/>
            <w:vAlign w:val="center"/>
            <w:hideMark/>
          </w:tcPr>
          <w:p w14:paraId="2277D339" w14:textId="77777777" w:rsidR="005F5B8C" w:rsidRPr="006E0231" w:rsidRDefault="005F5B8C" w:rsidP="006E0231">
            <w:pPr>
              <w:jc w:val="both"/>
              <w:rPr>
                <w:rFonts w:asciiTheme="minorHAnsi" w:hAnsiTheme="minorHAnsi" w:cs="Calibri"/>
                <w:b/>
                <w:bCs/>
                <w:color w:val="0070C0"/>
              </w:rPr>
            </w:pPr>
            <w:r w:rsidRPr="006E0231">
              <w:rPr>
                <w:rFonts w:asciiTheme="minorHAnsi" w:hAnsiTheme="minorHAnsi" w:cs="Calibri"/>
                <w:b/>
                <w:bCs/>
                <w:color w:val="0070C0"/>
              </w:rPr>
              <w:t>FY22 Exec</w:t>
            </w:r>
          </w:p>
        </w:tc>
        <w:tc>
          <w:tcPr>
            <w:tcW w:w="1366" w:type="dxa"/>
            <w:tcBorders>
              <w:top w:val="nil"/>
              <w:left w:val="nil"/>
              <w:bottom w:val="single" w:sz="4" w:space="0" w:color="auto"/>
              <w:right w:val="single" w:sz="4" w:space="0" w:color="auto"/>
            </w:tcBorders>
            <w:shd w:val="clear" w:color="auto" w:fill="auto"/>
            <w:noWrap/>
            <w:vAlign w:val="center"/>
            <w:hideMark/>
          </w:tcPr>
          <w:p w14:paraId="69EF01CE" w14:textId="364C6E93"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$116,621</w:t>
            </w:r>
          </w:p>
        </w:tc>
        <w:tc>
          <w:tcPr>
            <w:tcW w:w="1366" w:type="dxa"/>
            <w:tcBorders>
              <w:top w:val="nil"/>
              <w:left w:val="nil"/>
              <w:bottom w:val="single" w:sz="4" w:space="0" w:color="auto"/>
              <w:right w:val="single" w:sz="4" w:space="0" w:color="auto"/>
            </w:tcBorders>
            <w:shd w:val="clear" w:color="auto" w:fill="auto"/>
            <w:noWrap/>
            <w:vAlign w:val="center"/>
            <w:hideMark/>
          </w:tcPr>
          <w:p w14:paraId="11251C59" w14:textId="46012FF4"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$112,659</w:t>
            </w:r>
          </w:p>
        </w:tc>
        <w:tc>
          <w:tcPr>
            <w:tcW w:w="1366" w:type="dxa"/>
            <w:tcBorders>
              <w:top w:val="nil"/>
              <w:left w:val="nil"/>
              <w:bottom w:val="single" w:sz="4" w:space="0" w:color="auto"/>
              <w:right w:val="single" w:sz="4" w:space="0" w:color="auto"/>
            </w:tcBorders>
            <w:shd w:val="clear" w:color="auto" w:fill="auto"/>
            <w:noWrap/>
            <w:vAlign w:val="center"/>
            <w:hideMark/>
          </w:tcPr>
          <w:p w14:paraId="57BD3402" w14:textId="39476B2B"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$112,809</w:t>
            </w:r>
          </w:p>
        </w:tc>
        <w:tc>
          <w:tcPr>
            <w:tcW w:w="1366" w:type="dxa"/>
            <w:tcBorders>
              <w:top w:val="nil"/>
              <w:left w:val="nil"/>
              <w:bottom w:val="single" w:sz="4" w:space="0" w:color="auto"/>
              <w:right w:val="single" w:sz="4" w:space="0" w:color="auto"/>
            </w:tcBorders>
            <w:shd w:val="clear" w:color="auto" w:fill="auto"/>
            <w:noWrap/>
            <w:vAlign w:val="center"/>
            <w:hideMark/>
          </w:tcPr>
          <w:p w14:paraId="10811AFA" w14:textId="5369642A"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$112,809</w:t>
            </w:r>
          </w:p>
        </w:tc>
        <w:tc>
          <w:tcPr>
            <w:tcW w:w="1366" w:type="dxa"/>
            <w:tcBorders>
              <w:top w:val="nil"/>
              <w:left w:val="nil"/>
              <w:bottom w:val="single" w:sz="4" w:space="0" w:color="auto"/>
              <w:right w:val="single" w:sz="4" w:space="0" w:color="auto"/>
            </w:tcBorders>
            <w:shd w:val="clear" w:color="auto" w:fill="auto"/>
            <w:noWrap/>
            <w:vAlign w:val="center"/>
            <w:hideMark/>
          </w:tcPr>
          <w:p w14:paraId="43F4B206" w14:textId="309DCB30" w:rsidR="005F5B8C" w:rsidRPr="006E0231" w:rsidRDefault="005F5B8C" w:rsidP="16194CFB">
            <w:pPr>
              <w:jc w:val="right"/>
              <w:rPr>
                <w:rFonts w:asciiTheme="minorHAnsi" w:hAnsiTheme="minorHAnsi" w:cs="Calibri"/>
                <w:b/>
                <w:bCs/>
                <w:color w:val="000000"/>
              </w:rPr>
            </w:pPr>
            <w:r w:rsidRPr="16194CFB">
              <w:rPr>
                <w:rFonts w:asciiTheme="minorHAnsi" w:hAnsiTheme="minorHAnsi" w:cs="Calibri"/>
                <w:b/>
                <w:bCs/>
                <w:color w:val="000000" w:themeColor="text1"/>
              </w:rPr>
              <w:t>$112,809</w:t>
            </w:r>
          </w:p>
        </w:tc>
      </w:tr>
    </w:tbl>
    <w:p w14:paraId="07D0A120" w14:textId="1A754C4C" w:rsidR="005F5B8C" w:rsidRPr="006E0231" w:rsidRDefault="005F5B8C" w:rsidP="008E715B">
      <w:pPr>
        <w:spacing w:before="120" w:after="120"/>
        <w:jc w:val="both"/>
        <w:rPr>
          <w:rFonts w:asciiTheme="minorHAnsi" w:hAnsiTheme="minorHAnsi" w:cstheme="minorBidi"/>
          <w:b/>
          <w:bCs/>
          <w:color w:val="000000" w:themeColor="text1"/>
        </w:rPr>
      </w:pPr>
      <w:r w:rsidRPr="16194CFB">
        <w:rPr>
          <w:rFonts w:asciiTheme="minorHAnsi" w:hAnsiTheme="minorHAnsi" w:cstheme="minorBidi"/>
          <w:color w:val="000000" w:themeColor="text1"/>
        </w:rPr>
        <w:t xml:space="preserve">As mentioned above, FISA’s Fiscal 2022 budget totals $112.7 million, and is $1.8 million more when compared to its Fiscal 2022 Preliminary Budget. </w:t>
      </w:r>
      <w:r w:rsidR="008377DB" w:rsidRPr="16194CFB">
        <w:rPr>
          <w:rFonts w:asciiTheme="minorHAnsi" w:hAnsiTheme="minorHAnsi" w:cstheme="minorBidi"/>
          <w:color w:val="000000" w:themeColor="text1"/>
        </w:rPr>
        <w:t xml:space="preserve">Additionally, FISA’s current year budget totals $116.6 million, and is $767,000 less than its Preliminary budget. This decrease is due to other adjustments </w:t>
      </w:r>
      <w:r w:rsidR="03DFE07E" w:rsidRPr="16194CFB">
        <w:rPr>
          <w:rFonts w:asciiTheme="minorHAnsi" w:hAnsiTheme="minorHAnsi" w:cstheme="minorBidi"/>
          <w:color w:val="000000" w:themeColor="text1"/>
        </w:rPr>
        <w:t>at FISA</w:t>
      </w:r>
      <w:r w:rsidR="008377DB" w:rsidRPr="16194CFB">
        <w:rPr>
          <w:rFonts w:asciiTheme="minorHAnsi" w:hAnsiTheme="minorHAnsi" w:cstheme="minorBidi"/>
          <w:color w:val="000000" w:themeColor="text1"/>
        </w:rPr>
        <w:t xml:space="preserve"> that reduced its current year budget. </w:t>
      </w:r>
      <w:r w:rsidR="64ACBED3" w:rsidRPr="16194CFB">
        <w:rPr>
          <w:rFonts w:asciiTheme="minorHAnsi" w:hAnsiTheme="minorHAnsi" w:cstheme="minorBidi"/>
          <w:color w:val="000000" w:themeColor="text1"/>
        </w:rPr>
        <w:t>FISA’s</w:t>
      </w:r>
      <w:r w:rsidR="50493045" w:rsidRPr="16194CFB">
        <w:rPr>
          <w:rFonts w:asciiTheme="minorHAnsi" w:hAnsiTheme="minorHAnsi" w:cstheme="minorBidi"/>
          <w:color w:val="000000" w:themeColor="text1"/>
        </w:rPr>
        <w:t xml:space="preserve"> </w:t>
      </w:r>
      <w:r w:rsidRPr="16194CFB">
        <w:rPr>
          <w:rFonts w:asciiTheme="minorHAnsi" w:hAnsiTheme="minorHAnsi" w:cstheme="minorBidi"/>
          <w:color w:val="000000" w:themeColor="text1"/>
        </w:rPr>
        <w:t xml:space="preserve">increases in funding in Fiscal 2022 and the </w:t>
      </w:r>
      <w:proofErr w:type="spellStart"/>
      <w:r w:rsidRPr="16194CFB">
        <w:rPr>
          <w:rFonts w:asciiTheme="minorHAnsi" w:hAnsiTheme="minorHAnsi" w:cstheme="minorBidi"/>
          <w:color w:val="000000" w:themeColor="text1"/>
        </w:rPr>
        <w:t>outyears</w:t>
      </w:r>
      <w:proofErr w:type="spellEnd"/>
      <w:r w:rsidRPr="16194CFB">
        <w:rPr>
          <w:rFonts w:asciiTheme="minorHAnsi" w:hAnsiTheme="minorHAnsi" w:cstheme="minorBidi"/>
          <w:color w:val="000000" w:themeColor="text1"/>
        </w:rPr>
        <w:t xml:space="preserve"> </w:t>
      </w:r>
      <w:r w:rsidR="77102FC0" w:rsidRPr="16194CFB">
        <w:rPr>
          <w:rFonts w:asciiTheme="minorHAnsi" w:hAnsiTheme="minorHAnsi" w:cstheme="minorBidi"/>
          <w:color w:val="000000" w:themeColor="text1"/>
        </w:rPr>
        <w:t>are</w:t>
      </w:r>
      <w:r w:rsidRPr="16194CFB">
        <w:rPr>
          <w:rFonts w:asciiTheme="minorHAnsi" w:hAnsiTheme="minorHAnsi" w:cstheme="minorBidi"/>
          <w:color w:val="000000" w:themeColor="text1"/>
        </w:rPr>
        <w:t xml:space="preserve"> primarily due to its new needs package and other adjustments</w:t>
      </w:r>
      <w:r w:rsidR="71B48195" w:rsidRPr="16194CFB">
        <w:rPr>
          <w:rFonts w:asciiTheme="minorHAnsi" w:hAnsiTheme="minorHAnsi" w:cstheme="minorBidi"/>
          <w:color w:val="000000" w:themeColor="text1"/>
        </w:rPr>
        <w:t>.</w:t>
      </w:r>
    </w:p>
    <w:p w14:paraId="0C11337D" w14:textId="3804156D" w:rsidR="005F5B8C" w:rsidRPr="006E0231" w:rsidRDefault="647D6C62" w:rsidP="16194CFB">
      <w:pPr>
        <w:spacing w:after="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FISA </w:t>
      </w:r>
      <w:r w:rsidR="005F5B8C" w:rsidRPr="16194CFB">
        <w:rPr>
          <w:rFonts w:asciiTheme="minorHAnsi" w:hAnsiTheme="minorHAnsi" w:cstheme="minorBidi"/>
          <w:b/>
          <w:bCs/>
          <w:color w:val="000000" w:themeColor="text1"/>
        </w:rPr>
        <w:t>New Needs</w:t>
      </w:r>
    </w:p>
    <w:p w14:paraId="51B4A3B9" w14:textId="06F07C07" w:rsidR="00E96C46" w:rsidRPr="006E0231" w:rsidRDefault="005F5B8C" w:rsidP="00A46DC0">
      <w:pPr>
        <w:pStyle w:val="ListParagraph"/>
        <w:numPr>
          <w:ilvl w:val="0"/>
          <w:numId w:val="4"/>
        </w:numPr>
        <w:spacing w:after="120"/>
        <w:contextualSpacing w:val="0"/>
        <w:jc w:val="both"/>
        <w:rPr>
          <w:rFonts w:asciiTheme="minorHAnsi" w:hAnsiTheme="minorHAnsi" w:cstheme="minorBidi"/>
          <w:b/>
          <w:bCs/>
          <w:color w:val="000000" w:themeColor="text1"/>
        </w:rPr>
      </w:pPr>
      <w:proofErr w:type="spellStart"/>
      <w:r w:rsidRPr="006E0231">
        <w:rPr>
          <w:rFonts w:asciiTheme="minorHAnsi" w:hAnsiTheme="minorHAnsi" w:cstheme="minorBidi"/>
          <w:b/>
          <w:bCs/>
          <w:color w:val="000000" w:themeColor="text1"/>
        </w:rPr>
        <w:t>CityTime</w:t>
      </w:r>
      <w:proofErr w:type="spellEnd"/>
      <w:r w:rsidRPr="006E0231">
        <w:rPr>
          <w:rFonts w:asciiTheme="minorHAnsi" w:hAnsiTheme="minorHAnsi" w:cstheme="minorBidi"/>
          <w:b/>
          <w:bCs/>
          <w:color w:val="000000" w:themeColor="text1"/>
        </w:rPr>
        <w:t xml:space="preserve"> Data Collection Device Purchases. </w:t>
      </w:r>
      <w:r w:rsidR="00E96C46" w:rsidRPr="006E0231">
        <w:rPr>
          <w:rFonts w:asciiTheme="minorHAnsi" w:hAnsiTheme="minorHAnsi" w:cstheme="minorBidi"/>
          <w:color w:val="000000" w:themeColor="text1"/>
        </w:rPr>
        <w:t xml:space="preserve">The Fiscal 2022 Executive Budget includes new needs of $1.5 million in Fiscal 2021 for the purchase of </w:t>
      </w:r>
      <w:proofErr w:type="spellStart"/>
      <w:r w:rsidR="00E96C46" w:rsidRPr="006E0231">
        <w:rPr>
          <w:rFonts w:asciiTheme="minorHAnsi" w:hAnsiTheme="minorHAnsi" w:cstheme="minorBidi"/>
          <w:color w:val="000000" w:themeColor="text1"/>
        </w:rPr>
        <w:t>CityTime</w:t>
      </w:r>
      <w:proofErr w:type="spellEnd"/>
      <w:r w:rsidR="00E96C46" w:rsidRPr="006E0231">
        <w:rPr>
          <w:rFonts w:asciiTheme="minorHAnsi" w:hAnsiTheme="minorHAnsi" w:cstheme="minorBidi"/>
          <w:color w:val="000000" w:themeColor="text1"/>
        </w:rPr>
        <w:t xml:space="preserve"> data collection devices</w:t>
      </w:r>
      <w:r w:rsidR="0031000B" w:rsidRPr="006E0231">
        <w:rPr>
          <w:rFonts w:asciiTheme="minorHAnsi" w:hAnsiTheme="minorHAnsi" w:cstheme="minorBidi"/>
          <w:color w:val="000000" w:themeColor="text1"/>
        </w:rPr>
        <w:t>, such as palm readers</w:t>
      </w:r>
      <w:r w:rsidR="00E96C46" w:rsidRPr="006E0231">
        <w:rPr>
          <w:rFonts w:asciiTheme="minorHAnsi" w:hAnsiTheme="minorHAnsi" w:cstheme="minorBidi"/>
          <w:color w:val="000000" w:themeColor="text1"/>
        </w:rPr>
        <w:t xml:space="preserve">. </w:t>
      </w:r>
    </w:p>
    <w:p w14:paraId="0CC08AE4" w14:textId="5DC34CEC" w:rsidR="005F5B8C" w:rsidRPr="006E0231" w:rsidRDefault="005F5B8C" w:rsidP="00A46DC0">
      <w:pPr>
        <w:pStyle w:val="ListParagraph"/>
        <w:numPr>
          <w:ilvl w:val="0"/>
          <w:numId w:val="4"/>
        </w:numPr>
        <w:spacing w:after="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PS Funding. </w:t>
      </w:r>
      <w:r w:rsidR="005325FD" w:rsidRPr="16194CFB">
        <w:rPr>
          <w:rFonts w:asciiTheme="minorHAnsi" w:hAnsiTheme="minorHAnsi" w:cstheme="minorBidi"/>
          <w:color w:val="000000" w:themeColor="text1"/>
        </w:rPr>
        <w:t xml:space="preserve">The Fiscal 2022 Executive Budget includes one-time new needs of $422,000 in Fiscal 2021 due to increased PS-related expenses at </w:t>
      </w:r>
      <w:r w:rsidR="59138684" w:rsidRPr="16194CFB">
        <w:rPr>
          <w:rFonts w:asciiTheme="minorHAnsi" w:hAnsiTheme="minorHAnsi" w:cstheme="minorBidi"/>
          <w:color w:val="000000" w:themeColor="text1"/>
        </w:rPr>
        <w:t>FISA’s</w:t>
      </w:r>
      <w:r w:rsidR="005325FD" w:rsidRPr="16194CFB">
        <w:rPr>
          <w:rFonts w:asciiTheme="minorHAnsi" w:hAnsiTheme="minorHAnsi" w:cstheme="minorBidi"/>
          <w:color w:val="000000" w:themeColor="text1"/>
        </w:rPr>
        <w:t xml:space="preserve"> Executive, Administrative, and Legal Services Division. </w:t>
      </w:r>
    </w:p>
    <w:p w14:paraId="639DE9A6" w14:textId="2899E334" w:rsidR="005F5B8C" w:rsidRPr="006E0231" w:rsidRDefault="005F5B8C" w:rsidP="00A46DC0">
      <w:pPr>
        <w:pStyle w:val="ListParagraph"/>
        <w:numPr>
          <w:ilvl w:val="0"/>
          <w:numId w:val="4"/>
        </w:numPr>
        <w:spacing w:after="120"/>
        <w:contextualSpacing w:val="0"/>
        <w:jc w:val="both"/>
        <w:rPr>
          <w:rFonts w:asciiTheme="minorHAnsi" w:hAnsiTheme="minorHAnsi" w:cstheme="minorBidi"/>
          <w:b/>
          <w:bCs/>
          <w:color w:val="000000" w:themeColor="text1"/>
        </w:rPr>
      </w:pPr>
      <w:r w:rsidRPr="006E0231">
        <w:rPr>
          <w:rFonts w:asciiTheme="minorHAnsi" w:hAnsiTheme="minorHAnsi" w:cstheme="minorBidi"/>
          <w:b/>
          <w:bCs/>
          <w:color w:val="000000" w:themeColor="text1"/>
        </w:rPr>
        <w:t xml:space="preserve">Security Assessment Maintenance. </w:t>
      </w:r>
      <w:r w:rsidR="00E96C46" w:rsidRPr="006E0231">
        <w:rPr>
          <w:rFonts w:asciiTheme="minorHAnsi" w:hAnsiTheme="minorHAnsi" w:cstheme="minorBidi"/>
          <w:color w:val="000000" w:themeColor="text1"/>
        </w:rPr>
        <w:t xml:space="preserve">The Fiscal 2022 Executive Budget includes baselined new needs of $1.5 million beginning in Fiscal 2022 for costs associated with the </w:t>
      </w:r>
      <w:r w:rsidR="006E0231" w:rsidRPr="006E0231">
        <w:rPr>
          <w:rFonts w:asciiTheme="minorHAnsi" w:hAnsiTheme="minorHAnsi" w:cstheme="minorBidi"/>
          <w:color w:val="000000" w:themeColor="text1"/>
        </w:rPr>
        <w:t xml:space="preserve">maintenance of </w:t>
      </w:r>
      <w:r w:rsidR="00E96C46" w:rsidRPr="006E0231">
        <w:rPr>
          <w:rFonts w:asciiTheme="minorHAnsi" w:hAnsiTheme="minorHAnsi" w:cstheme="minorBidi"/>
          <w:color w:val="000000" w:themeColor="text1"/>
        </w:rPr>
        <w:t xml:space="preserve">enhanced cybersecurity </w:t>
      </w:r>
      <w:r w:rsidR="006E0231" w:rsidRPr="006E0231">
        <w:rPr>
          <w:rFonts w:asciiTheme="minorHAnsi" w:hAnsiTheme="minorHAnsi" w:cstheme="minorBidi"/>
          <w:color w:val="000000" w:themeColor="text1"/>
        </w:rPr>
        <w:t xml:space="preserve">software </w:t>
      </w:r>
      <w:r w:rsidR="00E96C46" w:rsidRPr="006E0231">
        <w:rPr>
          <w:rFonts w:asciiTheme="minorHAnsi" w:hAnsiTheme="minorHAnsi" w:cstheme="minorBidi"/>
          <w:color w:val="000000" w:themeColor="text1"/>
        </w:rPr>
        <w:t xml:space="preserve">for FISA systems, including </w:t>
      </w:r>
      <w:proofErr w:type="spellStart"/>
      <w:r w:rsidR="00E96C46" w:rsidRPr="006E0231">
        <w:rPr>
          <w:rFonts w:asciiTheme="minorHAnsi" w:hAnsiTheme="minorHAnsi" w:cstheme="minorBidi"/>
          <w:color w:val="000000" w:themeColor="text1"/>
        </w:rPr>
        <w:t>CityTime</w:t>
      </w:r>
      <w:proofErr w:type="spellEnd"/>
      <w:r w:rsidR="00E96C46" w:rsidRPr="006E0231">
        <w:rPr>
          <w:rFonts w:asciiTheme="minorHAnsi" w:hAnsiTheme="minorHAnsi" w:cstheme="minorBidi"/>
          <w:color w:val="000000" w:themeColor="text1"/>
        </w:rPr>
        <w:t xml:space="preserve">, </w:t>
      </w:r>
      <w:r w:rsidR="002A4F03">
        <w:rPr>
          <w:rFonts w:asciiTheme="minorHAnsi" w:hAnsiTheme="minorHAnsi" w:cstheme="minorBidi"/>
          <w:color w:val="000000" w:themeColor="text1"/>
        </w:rPr>
        <w:br/>
      </w:r>
      <w:r w:rsidR="00E96C46" w:rsidRPr="006E0231">
        <w:rPr>
          <w:rFonts w:asciiTheme="minorHAnsi" w:hAnsiTheme="minorHAnsi" w:cstheme="minorBidi"/>
          <w:color w:val="000000" w:themeColor="text1"/>
        </w:rPr>
        <w:t xml:space="preserve">payroll and pension systems, among others. </w:t>
      </w:r>
    </w:p>
    <w:p w14:paraId="2623FD41" w14:textId="075E5CC4" w:rsidR="005F5B8C" w:rsidRPr="006E0231" w:rsidRDefault="7D9040B7" w:rsidP="16194CFB">
      <w:pPr>
        <w:spacing w:after="120"/>
        <w:jc w:val="both"/>
        <w:rPr>
          <w:rFonts w:asciiTheme="minorHAnsi" w:hAnsiTheme="minorHAnsi" w:cstheme="minorBidi"/>
          <w:b/>
          <w:bCs/>
          <w:color w:val="000000" w:themeColor="text1"/>
        </w:rPr>
      </w:pPr>
      <w:bookmarkStart w:id="0" w:name="_GoBack"/>
      <w:bookmarkEnd w:id="0"/>
      <w:r w:rsidRPr="16194CFB">
        <w:rPr>
          <w:rFonts w:asciiTheme="minorHAnsi" w:hAnsiTheme="minorHAnsi" w:cstheme="minorBidi"/>
          <w:b/>
          <w:bCs/>
          <w:color w:val="000000" w:themeColor="text1"/>
        </w:rPr>
        <w:t xml:space="preserve">FISA </w:t>
      </w:r>
      <w:r w:rsidR="005F5B8C" w:rsidRPr="16194CFB">
        <w:rPr>
          <w:rFonts w:asciiTheme="minorHAnsi" w:hAnsiTheme="minorHAnsi" w:cstheme="minorBidi"/>
          <w:b/>
          <w:bCs/>
          <w:color w:val="000000" w:themeColor="text1"/>
        </w:rPr>
        <w:t>Other Adjustments</w:t>
      </w:r>
    </w:p>
    <w:p w14:paraId="62EA0BF7" w14:textId="5254A8B3" w:rsidR="005325FD" w:rsidRPr="006E0231" w:rsidRDefault="005325FD" w:rsidP="00A46DC0">
      <w:pPr>
        <w:pStyle w:val="ListParagraph"/>
        <w:numPr>
          <w:ilvl w:val="0"/>
          <w:numId w:val="13"/>
        </w:numPr>
        <w:spacing w:after="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Coronavirus Relief Fund (CRF). </w:t>
      </w:r>
      <w:r w:rsidRPr="16194CFB">
        <w:rPr>
          <w:rFonts w:asciiTheme="minorHAnsi" w:hAnsiTheme="minorHAnsi" w:cstheme="minorBidi"/>
          <w:color w:val="000000" w:themeColor="text1"/>
        </w:rPr>
        <w:t xml:space="preserve">The Fiscal 2022 Executive Budget includes $2.7 million in Fiscal 2021 for the Coronavirus Relief Fund. This funding </w:t>
      </w:r>
      <w:proofErr w:type="gramStart"/>
      <w:r w:rsidRPr="16194CFB">
        <w:rPr>
          <w:rFonts w:asciiTheme="minorHAnsi" w:hAnsiTheme="minorHAnsi" w:cstheme="minorBidi"/>
          <w:color w:val="000000" w:themeColor="text1"/>
        </w:rPr>
        <w:t xml:space="preserve">has been </w:t>
      </w:r>
      <w:r w:rsidR="006E0231" w:rsidRPr="16194CFB">
        <w:rPr>
          <w:rFonts w:asciiTheme="minorHAnsi" w:hAnsiTheme="minorHAnsi" w:cstheme="minorBidi"/>
          <w:color w:val="000000" w:themeColor="text1"/>
        </w:rPr>
        <w:t xml:space="preserve">primarily </w:t>
      </w:r>
      <w:r w:rsidRPr="16194CFB">
        <w:rPr>
          <w:rFonts w:asciiTheme="minorHAnsi" w:hAnsiTheme="minorHAnsi" w:cstheme="minorBidi"/>
          <w:color w:val="000000" w:themeColor="text1"/>
        </w:rPr>
        <w:t>allocated</w:t>
      </w:r>
      <w:proofErr w:type="gramEnd"/>
      <w:r w:rsidRPr="16194CFB">
        <w:rPr>
          <w:rFonts w:asciiTheme="minorHAnsi" w:hAnsiTheme="minorHAnsi" w:cstheme="minorBidi"/>
          <w:color w:val="000000" w:themeColor="text1"/>
        </w:rPr>
        <w:t xml:space="preserve"> </w:t>
      </w:r>
      <w:r w:rsidR="006E0231" w:rsidRPr="16194CFB">
        <w:rPr>
          <w:rFonts w:asciiTheme="minorHAnsi" w:hAnsiTheme="minorHAnsi" w:cstheme="minorBidi"/>
          <w:color w:val="000000" w:themeColor="text1"/>
        </w:rPr>
        <w:t xml:space="preserve">for PS purposes, </w:t>
      </w:r>
      <w:r w:rsidRPr="16194CFB">
        <w:rPr>
          <w:rFonts w:asciiTheme="minorHAnsi" w:hAnsiTheme="minorHAnsi" w:cstheme="minorBidi"/>
          <w:color w:val="000000" w:themeColor="text1"/>
        </w:rPr>
        <w:t>to</w:t>
      </w:r>
      <w:r w:rsidR="0012769C" w:rsidRPr="16194CFB">
        <w:rPr>
          <w:rFonts w:asciiTheme="minorHAnsi" w:hAnsiTheme="minorHAnsi" w:cstheme="minorBidi"/>
          <w:color w:val="000000" w:themeColor="text1"/>
        </w:rPr>
        <w:t xml:space="preserve"> cover </w:t>
      </w:r>
      <w:r w:rsidR="5F8922AD" w:rsidRPr="16194CFB">
        <w:rPr>
          <w:rFonts w:asciiTheme="minorHAnsi" w:hAnsiTheme="minorHAnsi" w:cstheme="minorBidi"/>
          <w:color w:val="000000" w:themeColor="text1"/>
        </w:rPr>
        <w:t>FISA</w:t>
      </w:r>
      <w:r w:rsidR="0012769C" w:rsidRPr="16194CFB">
        <w:rPr>
          <w:rFonts w:asciiTheme="minorHAnsi" w:hAnsiTheme="minorHAnsi" w:cstheme="minorBidi"/>
          <w:color w:val="000000" w:themeColor="text1"/>
        </w:rPr>
        <w:t xml:space="preserve">’s overtime expenses </w:t>
      </w:r>
      <w:r w:rsidRPr="16194CFB">
        <w:rPr>
          <w:rFonts w:asciiTheme="minorHAnsi" w:hAnsiTheme="minorHAnsi" w:cstheme="minorBidi"/>
          <w:color w:val="000000" w:themeColor="text1"/>
        </w:rPr>
        <w:t>for workers who worked on COVID-19 related issues on top of their normal work duties</w:t>
      </w:r>
      <w:r w:rsidR="0012769C" w:rsidRPr="16194CFB">
        <w:rPr>
          <w:rFonts w:asciiTheme="minorHAnsi" w:hAnsiTheme="minorHAnsi" w:cstheme="minorBidi"/>
          <w:color w:val="000000" w:themeColor="text1"/>
        </w:rPr>
        <w:t>, such as working at City vaccine hubs</w:t>
      </w:r>
      <w:r w:rsidRPr="16194CFB">
        <w:rPr>
          <w:rFonts w:asciiTheme="minorHAnsi" w:hAnsiTheme="minorHAnsi" w:cstheme="minorBidi"/>
          <w:color w:val="000000" w:themeColor="text1"/>
        </w:rPr>
        <w:t xml:space="preserve">. </w:t>
      </w:r>
    </w:p>
    <w:p w14:paraId="4E7FED6A" w14:textId="0812AFD4" w:rsidR="005325FD" w:rsidRPr="006E0231" w:rsidRDefault="005325FD" w:rsidP="00A46DC0">
      <w:pPr>
        <w:pStyle w:val="ListParagraph"/>
        <w:numPr>
          <w:ilvl w:val="0"/>
          <w:numId w:val="13"/>
        </w:numPr>
        <w:spacing w:after="120"/>
        <w:contextualSpacing w:val="0"/>
        <w:jc w:val="both"/>
        <w:rPr>
          <w:rFonts w:asciiTheme="minorHAnsi" w:hAnsiTheme="minorHAnsi" w:cstheme="minorBidi"/>
          <w:b/>
          <w:bCs/>
          <w:color w:val="000000" w:themeColor="text1"/>
        </w:rPr>
      </w:pPr>
      <w:r w:rsidRPr="006E0231">
        <w:rPr>
          <w:rFonts w:asciiTheme="minorHAnsi" w:hAnsiTheme="minorHAnsi" w:cstheme="minorBidi"/>
          <w:b/>
          <w:bCs/>
          <w:color w:val="000000" w:themeColor="text1"/>
        </w:rPr>
        <w:t xml:space="preserve">Heat, Light and Power. </w:t>
      </w:r>
      <w:r w:rsidRPr="006E0231">
        <w:rPr>
          <w:rFonts w:asciiTheme="minorHAnsi" w:hAnsiTheme="minorHAnsi" w:cstheme="minorBidi"/>
          <w:color w:val="000000" w:themeColor="text1"/>
        </w:rPr>
        <w:t xml:space="preserve">The Fiscal 2022 Executive Budget includes a decrease of $35,464 in Fiscal 2021, and a funding </w:t>
      </w:r>
      <w:proofErr w:type="gramStart"/>
      <w:r w:rsidRPr="006E0231">
        <w:rPr>
          <w:rFonts w:asciiTheme="minorHAnsi" w:hAnsiTheme="minorHAnsi" w:cstheme="minorBidi"/>
          <w:color w:val="000000" w:themeColor="text1"/>
        </w:rPr>
        <w:t>adjustment which</w:t>
      </w:r>
      <w:proofErr w:type="gramEnd"/>
      <w:r w:rsidRPr="006E0231">
        <w:rPr>
          <w:rFonts w:asciiTheme="minorHAnsi" w:hAnsiTheme="minorHAnsi" w:cstheme="minorBidi"/>
          <w:color w:val="000000" w:themeColor="text1"/>
        </w:rPr>
        <w:t xml:space="preserve"> increases FISA’s heat, light and power budget by $46,969 beginning in Fiscal 2022. </w:t>
      </w:r>
    </w:p>
    <w:p w14:paraId="68D741DC" w14:textId="0DF3DAE8" w:rsidR="00E633B5" w:rsidRPr="00A46DC0" w:rsidRDefault="005325FD" w:rsidP="00A46DC0">
      <w:pPr>
        <w:pStyle w:val="ListParagraph"/>
        <w:numPr>
          <w:ilvl w:val="0"/>
          <w:numId w:val="13"/>
        </w:numPr>
        <w:spacing w:after="120"/>
        <w:contextualSpacing w:val="0"/>
        <w:jc w:val="both"/>
        <w:rPr>
          <w:rFonts w:asciiTheme="minorHAnsi" w:hAnsiTheme="minorHAnsi" w:cstheme="minorBidi"/>
          <w:b/>
          <w:bCs/>
          <w:color w:val="000000" w:themeColor="text1"/>
        </w:rPr>
      </w:pPr>
      <w:r w:rsidRPr="006E0231">
        <w:rPr>
          <w:rFonts w:asciiTheme="minorHAnsi" w:hAnsiTheme="minorHAnsi" w:cstheme="minorBidi"/>
          <w:b/>
          <w:bCs/>
          <w:color w:val="000000" w:themeColor="text1"/>
        </w:rPr>
        <w:t xml:space="preserve">Lease Adjustment. </w:t>
      </w:r>
      <w:r w:rsidRPr="006E0231">
        <w:rPr>
          <w:rFonts w:asciiTheme="minorHAnsi" w:hAnsiTheme="minorHAnsi" w:cstheme="minorBidi"/>
          <w:color w:val="000000" w:themeColor="text1"/>
        </w:rPr>
        <w:t>The Fiscal 2022 Executive Budget includes a baselined increase of $311,428 beginning in Fiscal 2022 for increased lease expenditures at FISA offices and warehouses across the City.</w:t>
      </w:r>
    </w:p>
    <w:p w14:paraId="54C0BB66" w14:textId="1962097E" w:rsidR="00A23E75" w:rsidRPr="006E0231" w:rsidRDefault="00EB2470" w:rsidP="006E0231">
      <w:pPr>
        <w:spacing w:before="120"/>
        <w:jc w:val="both"/>
        <w:rPr>
          <w:rFonts w:asciiTheme="minorHAnsi" w:hAnsiTheme="minorHAnsi" w:cstheme="minorBidi"/>
          <w:b/>
          <w:bCs/>
          <w:color w:val="4472C4" w:themeColor="accent1"/>
          <w:sz w:val="28"/>
          <w:szCs w:val="28"/>
          <w:shd w:val="clear" w:color="auto" w:fill="FFFFFF"/>
        </w:rPr>
      </w:pPr>
      <w:r w:rsidRPr="006E0231">
        <w:rPr>
          <w:rFonts w:asciiTheme="minorHAnsi" w:hAnsiTheme="minorHAnsi" w:cstheme="minorBidi"/>
          <w:b/>
          <w:bCs/>
          <w:color w:val="4472C4" w:themeColor="accent1"/>
          <w:sz w:val="28"/>
          <w:szCs w:val="28"/>
          <w:shd w:val="clear" w:color="auto" w:fill="FFFFFF"/>
        </w:rPr>
        <w:t>Office of Administrative Trials and Hearings (OATH)</w:t>
      </w:r>
    </w:p>
    <w:p w14:paraId="356591F5" w14:textId="42E479F5" w:rsidR="00EB2470" w:rsidRPr="006E0231" w:rsidRDefault="00EB2470" w:rsidP="006E0231">
      <w:pPr>
        <w:spacing w:after="120"/>
        <w:jc w:val="both"/>
        <w:rPr>
          <w:rFonts w:asciiTheme="minorHAnsi" w:hAnsiTheme="minorHAnsi" w:cstheme="minorBidi"/>
          <w:color w:val="000000" w:themeColor="text1"/>
        </w:rPr>
      </w:pPr>
      <w:r w:rsidRPr="006E0231">
        <w:rPr>
          <w:rFonts w:asciiTheme="minorHAnsi" w:hAnsiTheme="minorHAnsi" w:cstheme="minorBidi"/>
          <w:color w:val="000000" w:themeColor="text1"/>
        </w:rPr>
        <w:t xml:space="preserve">OATH’s Fiscal 2022 budget, as of the release of the Executive budget, totals $52 million, including $38.3 million in Personal Services (PS) funding to support 306 full-time positions, and $13.7 million in Other Than Personal Services (OTPS) funding. Below is a table detailing OATH’s 5-year budget as of the release of the Fiscal 2022 Executive Budget, compared to its Fiscal 2022 Preliminary Budget. </w:t>
      </w:r>
    </w:p>
    <w:tbl>
      <w:tblPr>
        <w:tblW w:w="8920" w:type="dxa"/>
        <w:tblLook w:val="04A0" w:firstRow="1" w:lastRow="0" w:firstColumn="1" w:lastColumn="0" w:noHBand="0" w:noVBand="1"/>
      </w:tblPr>
      <w:tblGrid>
        <w:gridCol w:w="2107"/>
        <w:gridCol w:w="1369"/>
        <w:gridCol w:w="1361"/>
        <w:gridCol w:w="1361"/>
        <w:gridCol w:w="1361"/>
        <w:gridCol w:w="1361"/>
      </w:tblGrid>
      <w:tr w:rsidR="00EB2470" w:rsidRPr="006E0231" w14:paraId="669C8717" w14:textId="77777777" w:rsidTr="00A46DC0">
        <w:trPr>
          <w:trHeight w:val="144"/>
        </w:trPr>
        <w:tc>
          <w:tcPr>
            <w:tcW w:w="89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728FE" w14:textId="77777777" w:rsidR="00EB2470" w:rsidRPr="006E0231" w:rsidRDefault="00EB2470" w:rsidP="006E0231">
            <w:pPr>
              <w:jc w:val="center"/>
              <w:rPr>
                <w:rFonts w:asciiTheme="minorHAnsi" w:hAnsiTheme="minorHAnsi" w:cs="Calibri"/>
                <w:b/>
                <w:bCs/>
                <w:color w:val="0070C0"/>
              </w:rPr>
            </w:pPr>
            <w:r w:rsidRPr="006E0231">
              <w:rPr>
                <w:rFonts w:asciiTheme="minorHAnsi" w:hAnsiTheme="minorHAnsi" w:cs="Calibri"/>
                <w:b/>
                <w:bCs/>
                <w:color w:val="0070C0"/>
              </w:rPr>
              <w:t>Office of Administrative Trials and Hearings (OATH)</w:t>
            </w:r>
          </w:p>
        </w:tc>
      </w:tr>
      <w:tr w:rsidR="00EB2470" w:rsidRPr="006E0231" w14:paraId="58A19F41" w14:textId="77777777" w:rsidTr="00A46DC0">
        <w:trPr>
          <w:trHeight w:val="144"/>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14:paraId="1DF77000" w14:textId="4F2418FD" w:rsidR="00EB2470" w:rsidRPr="006E0231" w:rsidRDefault="00EB2470" w:rsidP="006E0231">
            <w:pPr>
              <w:jc w:val="both"/>
              <w:rPr>
                <w:rFonts w:asciiTheme="minorHAnsi" w:hAnsiTheme="minorHAnsi" w:cs="Calibri"/>
                <w:b/>
                <w:bCs/>
                <w:i/>
                <w:iCs/>
                <w:color w:val="000000"/>
                <w:sz w:val="20"/>
                <w:szCs w:val="20"/>
              </w:rPr>
            </w:pPr>
            <w:r w:rsidRPr="006E0231">
              <w:rPr>
                <w:rFonts w:asciiTheme="minorHAnsi" w:hAnsiTheme="minorHAnsi" w:cs="Calibri"/>
                <w:b/>
                <w:bCs/>
                <w:i/>
                <w:iCs/>
                <w:color w:val="000000"/>
                <w:sz w:val="20"/>
                <w:szCs w:val="20"/>
              </w:rPr>
              <w:t> Dollars in Thousands</w:t>
            </w:r>
          </w:p>
        </w:tc>
        <w:tc>
          <w:tcPr>
            <w:tcW w:w="1369" w:type="dxa"/>
            <w:tcBorders>
              <w:top w:val="nil"/>
              <w:left w:val="nil"/>
              <w:bottom w:val="single" w:sz="4" w:space="0" w:color="auto"/>
              <w:right w:val="single" w:sz="4" w:space="0" w:color="auto"/>
            </w:tcBorders>
            <w:shd w:val="clear" w:color="auto" w:fill="auto"/>
            <w:noWrap/>
            <w:vAlign w:val="center"/>
            <w:hideMark/>
          </w:tcPr>
          <w:p w14:paraId="38906008"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FY21</w:t>
            </w:r>
          </w:p>
        </w:tc>
        <w:tc>
          <w:tcPr>
            <w:tcW w:w="1361" w:type="dxa"/>
            <w:tcBorders>
              <w:top w:val="nil"/>
              <w:left w:val="nil"/>
              <w:bottom w:val="single" w:sz="4" w:space="0" w:color="auto"/>
              <w:right w:val="single" w:sz="4" w:space="0" w:color="auto"/>
            </w:tcBorders>
            <w:shd w:val="clear" w:color="auto" w:fill="auto"/>
            <w:noWrap/>
            <w:vAlign w:val="center"/>
            <w:hideMark/>
          </w:tcPr>
          <w:p w14:paraId="15C0D6F2"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FY22</w:t>
            </w:r>
          </w:p>
        </w:tc>
        <w:tc>
          <w:tcPr>
            <w:tcW w:w="1361" w:type="dxa"/>
            <w:tcBorders>
              <w:top w:val="nil"/>
              <w:left w:val="nil"/>
              <w:bottom w:val="single" w:sz="4" w:space="0" w:color="auto"/>
              <w:right w:val="single" w:sz="4" w:space="0" w:color="auto"/>
            </w:tcBorders>
            <w:shd w:val="clear" w:color="auto" w:fill="auto"/>
            <w:noWrap/>
            <w:vAlign w:val="center"/>
            <w:hideMark/>
          </w:tcPr>
          <w:p w14:paraId="2202B2B2"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FY23</w:t>
            </w:r>
          </w:p>
        </w:tc>
        <w:tc>
          <w:tcPr>
            <w:tcW w:w="1361" w:type="dxa"/>
            <w:tcBorders>
              <w:top w:val="nil"/>
              <w:left w:val="nil"/>
              <w:bottom w:val="single" w:sz="4" w:space="0" w:color="auto"/>
              <w:right w:val="single" w:sz="4" w:space="0" w:color="auto"/>
            </w:tcBorders>
            <w:shd w:val="clear" w:color="auto" w:fill="auto"/>
            <w:noWrap/>
            <w:vAlign w:val="center"/>
            <w:hideMark/>
          </w:tcPr>
          <w:p w14:paraId="5C8E13A7"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FY24</w:t>
            </w:r>
          </w:p>
        </w:tc>
        <w:tc>
          <w:tcPr>
            <w:tcW w:w="1361" w:type="dxa"/>
            <w:tcBorders>
              <w:top w:val="nil"/>
              <w:left w:val="nil"/>
              <w:bottom w:val="single" w:sz="4" w:space="0" w:color="auto"/>
              <w:right w:val="single" w:sz="4" w:space="0" w:color="auto"/>
            </w:tcBorders>
            <w:shd w:val="clear" w:color="auto" w:fill="auto"/>
            <w:noWrap/>
            <w:vAlign w:val="center"/>
            <w:hideMark/>
          </w:tcPr>
          <w:p w14:paraId="5194E853"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FY25</w:t>
            </w:r>
          </w:p>
        </w:tc>
      </w:tr>
      <w:tr w:rsidR="00EB2470" w:rsidRPr="006E0231" w14:paraId="0E1518A2" w14:textId="77777777" w:rsidTr="00A46DC0">
        <w:trPr>
          <w:trHeight w:val="144"/>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14:paraId="4B67580E" w14:textId="77777777" w:rsidR="00EB2470" w:rsidRPr="006E0231" w:rsidRDefault="00EB2470" w:rsidP="006E0231">
            <w:pPr>
              <w:jc w:val="both"/>
              <w:rPr>
                <w:rFonts w:asciiTheme="minorHAnsi" w:hAnsiTheme="minorHAnsi" w:cs="Calibri"/>
                <w:b/>
                <w:bCs/>
                <w:color w:val="0070C0"/>
              </w:rPr>
            </w:pPr>
            <w:r w:rsidRPr="006E0231">
              <w:rPr>
                <w:rFonts w:asciiTheme="minorHAnsi" w:hAnsiTheme="minorHAnsi" w:cs="Calibri"/>
                <w:b/>
                <w:bCs/>
                <w:color w:val="0070C0"/>
              </w:rPr>
              <w:t>FY22 Prelim</w:t>
            </w:r>
          </w:p>
        </w:tc>
        <w:tc>
          <w:tcPr>
            <w:tcW w:w="1369" w:type="dxa"/>
            <w:tcBorders>
              <w:top w:val="nil"/>
              <w:left w:val="nil"/>
              <w:bottom w:val="single" w:sz="4" w:space="0" w:color="auto"/>
              <w:right w:val="single" w:sz="4" w:space="0" w:color="auto"/>
            </w:tcBorders>
            <w:shd w:val="clear" w:color="auto" w:fill="auto"/>
            <w:noWrap/>
            <w:vAlign w:val="center"/>
            <w:hideMark/>
          </w:tcPr>
          <w:p w14:paraId="56A9E9F3" w14:textId="2E6FB9C5"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$46,518</w:t>
            </w:r>
          </w:p>
        </w:tc>
        <w:tc>
          <w:tcPr>
            <w:tcW w:w="1361" w:type="dxa"/>
            <w:tcBorders>
              <w:top w:val="nil"/>
              <w:left w:val="nil"/>
              <w:bottom w:val="single" w:sz="4" w:space="0" w:color="auto"/>
              <w:right w:val="single" w:sz="4" w:space="0" w:color="auto"/>
            </w:tcBorders>
            <w:shd w:val="clear" w:color="auto" w:fill="auto"/>
            <w:noWrap/>
            <w:vAlign w:val="center"/>
            <w:hideMark/>
          </w:tcPr>
          <w:p w14:paraId="4F80F973" w14:textId="3AB4994B"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$51,212</w:t>
            </w:r>
          </w:p>
        </w:tc>
        <w:tc>
          <w:tcPr>
            <w:tcW w:w="1361" w:type="dxa"/>
            <w:tcBorders>
              <w:top w:val="nil"/>
              <w:left w:val="nil"/>
              <w:bottom w:val="single" w:sz="4" w:space="0" w:color="auto"/>
              <w:right w:val="single" w:sz="4" w:space="0" w:color="auto"/>
            </w:tcBorders>
            <w:shd w:val="clear" w:color="auto" w:fill="auto"/>
            <w:noWrap/>
            <w:vAlign w:val="center"/>
            <w:hideMark/>
          </w:tcPr>
          <w:p w14:paraId="21EE9961" w14:textId="1701DBF0"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$51,212</w:t>
            </w:r>
          </w:p>
        </w:tc>
        <w:tc>
          <w:tcPr>
            <w:tcW w:w="1361" w:type="dxa"/>
            <w:tcBorders>
              <w:top w:val="nil"/>
              <w:left w:val="nil"/>
              <w:bottom w:val="single" w:sz="4" w:space="0" w:color="auto"/>
              <w:right w:val="single" w:sz="4" w:space="0" w:color="auto"/>
            </w:tcBorders>
            <w:shd w:val="clear" w:color="auto" w:fill="auto"/>
            <w:noWrap/>
            <w:vAlign w:val="center"/>
            <w:hideMark/>
          </w:tcPr>
          <w:p w14:paraId="597EE798" w14:textId="0BD1C24D"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$51,212</w:t>
            </w:r>
          </w:p>
        </w:tc>
        <w:tc>
          <w:tcPr>
            <w:tcW w:w="1361" w:type="dxa"/>
            <w:tcBorders>
              <w:top w:val="nil"/>
              <w:left w:val="nil"/>
              <w:bottom w:val="single" w:sz="4" w:space="0" w:color="auto"/>
              <w:right w:val="single" w:sz="4" w:space="0" w:color="auto"/>
            </w:tcBorders>
            <w:shd w:val="clear" w:color="auto" w:fill="auto"/>
            <w:noWrap/>
            <w:vAlign w:val="center"/>
            <w:hideMark/>
          </w:tcPr>
          <w:p w14:paraId="74878563" w14:textId="6DA92B2A"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$51,212</w:t>
            </w:r>
          </w:p>
        </w:tc>
      </w:tr>
      <w:tr w:rsidR="00EB2470" w:rsidRPr="006E0231" w14:paraId="028BA748" w14:textId="77777777" w:rsidTr="00A46DC0">
        <w:trPr>
          <w:trHeight w:val="144"/>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14:paraId="5A5EC775" w14:textId="77777777" w:rsidR="00EB2470" w:rsidRPr="006E0231" w:rsidRDefault="00EB2470" w:rsidP="006E0231">
            <w:pPr>
              <w:jc w:val="both"/>
              <w:rPr>
                <w:rFonts w:asciiTheme="minorHAnsi" w:hAnsiTheme="minorHAnsi" w:cs="Calibri"/>
                <w:i/>
                <w:iCs/>
                <w:color w:val="000000"/>
              </w:rPr>
            </w:pPr>
            <w:r w:rsidRPr="006E0231">
              <w:rPr>
                <w:rFonts w:asciiTheme="minorHAnsi" w:hAnsiTheme="minorHAnsi" w:cs="Calibri"/>
                <w:i/>
                <w:iCs/>
                <w:color w:val="000000"/>
              </w:rPr>
              <w:t>New Needs</w:t>
            </w:r>
          </w:p>
        </w:tc>
        <w:tc>
          <w:tcPr>
            <w:tcW w:w="1369" w:type="dxa"/>
            <w:tcBorders>
              <w:top w:val="nil"/>
              <w:left w:val="nil"/>
              <w:bottom w:val="single" w:sz="4" w:space="0" w:color="auto"/>
              <w:right w:val="single" w:sz="4" w:space="0" w:color="auto"/>
            </w:tcBorders>
            <w:shd w:val="clear" w:color="auto" w:fill="auto"/>
            <w:noWrap/>
            <w:vAlign w:val="center"/>
            <w:hideMark/>
          </w:tcPr>
          <w:p w14:paraId="0116ADB9" w14:textId="0DE9CD77"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1" w:type="dxa"/>
            <w:tcBorders>
              <w:top w:val="nil"/>
              <w:left w:val="nil"/>
              <w:bottom w:val="single" w:sz="4" w:space="0" w:color="auto"/>
              <w:right w:val="single" w:sz="4" w:space="0" w:color="auto"/>
            </w:tcBorders>
            <w:shd w:val="clear" w:color="auto" w:fill="auto"/>
            <w:noWrap/>
            <w:vAlign w:val="center"/>
            <w:hideMark/>
          </w:tcPr>
          <w:p w14:paraId="5E1339FE" w14:textId="5D7C1496"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600</w:t>
            </w:r>
          </w:p>
        </w:tc>
        <w:tc>
          <w:tcPr>
            <w:tcW w:w="1361" w:type="dxa"/>
            <w:tcBorders>
              <w:top w:val="nil"/>
              <w:left w:val="nil"/>
              <w:bottom w:val="single" w:sz="4" w:space="0" w:color="auto"/>
              <w:right w:val="single" w:sz="4" w:space="0" w:color="auto"/>
            </w:tcBorders>
            <w:shd w:val="clear" w:color="auto" w:fill="auto"/>
            <w:noWrap/>
            <w:vAlign w:val="center"/>
            <w:hideMark/>
          </w:tcPr>
          <w:p w14:paraId="22A4B06D" w14:textId="7C2EADD5"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1" w:type="dxa"/>
            <w:tcBorders>
              <w:top w:val="nil"/>
              <w:left w:val="nil"/>
              <w:bottom w:val="single" w:sz="4" w:space="0" w:color="auto"/>
              <w:right w:val="single" w:sz="4" w:space="0" w:color="auto"/>
            </w:tcBorders>
            <w:shd w:val="clear" w:color="auto" w:fill="auto"/>
            <w:noWrap/>
            <w:vAlign w:val="center"/>
            <w:hideMark/>
          </w:tcPr>
          <w:p w14:paraId="2310FACD" w14:textId="25CFC170"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1" w:type="dxa"/>
            <w:tcBorders>
              <w:top w:val="nil"/>
              <w:left w:val="nil"/>
              <w:bottom w:val="single" w:sz="4" w:space="0" w:color="auto"/>
              <w:right w:val="single" w:sz="4" w:space="0" w:color="auto"/>
            </w:tcBorders>
            <w:shd w:val="clear" w:color="auto" w:fill="auto"/>
            <w:noWrap/>
            <w:vAlign w:val="center"/>
            <w:hideMark/>
          </w:tcPr>
          <w:p w14:paraId="5D723C99" w14:textId="2E3C9F4F"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EB2470" w:rsidRPr="006E0231" w14:paraId="49FDEDD3" w14:textId="77777777" w:rsidTr="00A46DC0">
        <w:trPr>
          <w:trHeight w:val="144"/>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14:paraId="429D25A3" w14:textId="77777777" w:rsidR="00EB2470" w:rsidRPr="006E0231" w:rsidRDefault="00EB2470" w:rsidP="006E0231">
            <w:pPr>
              <w:jc w:val="both"/>
              <w:rPr>
                <w:rFonts w:asciiTheme="minorHAnsi" w:hAnsiTheme="minorHAnsi" w:cs="Calibri"/>
                <w:i/>
                <w:iCs/>
                <w:color w:val="000000"/>
              </w:rPr>
            </w:pPr>
            <w:r w:rsidRPr="006E0231">
              <w:rPr>
                <w:rFonts w:asciiTheme="minorHAnsi" w:hAnsiTheme="minorHAnsi" w:cs="Calibri"/>
                <w:i/>
                <w:iCs/>
                <w:color w:val="000000"/>
              </w:rPr>
              <w:t>Other Adjustments</w:t>
            </w:r>
          </w:p>
        </w:tc>
        <w:tc>
          <w:tcPr>
            <w:tcW w:w="1369" w:type="dxa"/>
            <w:tcBorders>
              <w:top w:val="nil"/>
              <w:left w:val="nil"/>
              <w:bottom w:val="single" w:sz="4" w:space="0" w:color="auto"/>
              <w:right w:val="single" w:sz="4" w:space="0" w:color="auto"/>
            </w:tcBorders>
            <w:shd w:val="clear" w:color="auto" w:fill="auto"/>
            <w:noWrap/>
            <w:vAlign w:val="center"/>
            <w:hideMark/>
          </w:tcPr>
          <w:p w14:paraId="21B9A5B3" w14:textId="66B86753"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1,100</w:t>
            </w:r>
          </w:p>
        </w:tc>
        <w:tc>
          <w:tcPr>
            <w:tcW w:w="1361" w:type="dxa"/>
            <w:tcBorders>
              <w:top w:val="nil"/>
              <w:left w:val="nil"/>
              <w:bottom w:val="single" w:sz="4" w:space="0" w:color="auto"/>
              <w:right w:val="single" w:sz="4" w:space="0" w:color="auto"/>
            </w:tcBorders>
            <w:shd w:val="clear" w:color="auto" w:fill="auto"/>
            <w:noWrap/>
            <w:vAlign w:val="center"/>
            <w:hideMark/>
          </w:tcPr>
          <w:p w14:paraId="6A169971" w14:textId="4B60BBE2"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224</w:t>
            </w:r>
          </w:p>
        </w:tc>
        <w:tc>
          <w:tcPr>
            <w:tcW w:w="1361" w:type="dxa"/>
            <w:tcBorders>
              <w:top w:val="nil"/>
              <w:left w:val="nil"/>
              <w:bottom w:val="single" w:sz="4" w:space="0" w:color="auto"/>
              <w:right w:val="single" w:sz="4" w:space="0" w:color="auto"/>
            </w:tcBorders>
            <w:shd w:val="clear" w:color="auto" w:fill="auto"/>
            <w:noWrap/>
            <w:vAlign w:val="center"/>
            <w:hideMark/>
          </w:tcPr>
          <w:p w14:paraId="000986F4" w14:textId="5914BA0C"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224</w:t>
            </w:r>
          </w:p>
        </w:tc>
        <w:tc>
          <w:tcPr>
            <w:tcW w:w="1361" w:type="dxa"/>
            <w:tcBorders>
              <w:top w:val="nil"/>
              <w:left w:val="nil"/>
              <w:bottom w:val="single" w:sz="4" w:space="0" w:color="auto"/>
              <w:right w:val="single" w:sz="4" w:space="0" w:color="auto"/>
            </w:tcBorders>
            <w:shd w:val="clear" w:color="auto" w:fill="auto"/>
            <w:noWrap/>
            <w:vAlign w:val="center"/>
            <w:hideMark/>
          </w:tcPr>
          <w:p w14:paraId="088AFEA2" w14:textId="0B323C40"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224</w:t>
            </w:r>
          </w:p>
        </w:tc>
        <w:tc>
          <w:tcPr>
            <w:tcW w:w="1361" w:type="dxa"/>
            <w:tcBorders>
              <w:top w:val="nil"/>
              <w:left w:val="nil"/>
              <w:bottom w:val="single" w:sz="4" w:space="0" w:color="auto"/>
              <w:right w:val="single" w:sz="4" w:space="0" w:color="auto"/>
            </w:tcBorders>
            <w:shd w:val="clear" w:color="auto" w:fill="auto"/>
            <w:noWrap/>
            <w:vAlign w:val="center"/>
            <w:hideMark/>
          </w:tcPr>
          <w:p w14:paraId="575744F9" w14:textId="213E0738"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224</w:t>
            </w:r>
          </w:p>
        </w:tc>
      </w:tr>
      <w:tr w:rsidR="00EB2470" w:rsidRPr="006E0231" w14:paraId="21A10C53" w14:textId="77777777" w:rsidTr="00A46DC0">
        <w:trPr>
          <w:trHeight w:val="144"/>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14:paraId="2D999876" w14:textId="77777777" w:rsidR="00EB2470" w:rsidRPr="006E0231" w:rsidRDefault="00EB2470" w:rsidP="006E0231">
            <w:pPr>
              <w:jc w:val="both"/>
              <w:rPr>
                <w:rFonts w:asciiTheme="minorHAnsi" w:hAnsiTheme="minorHAnsi" w:cs="Calibri"/>
                <w:i/>
                <w:iCs/>
                <w:color w:val="000000"/>
              </w:rPr>
            </w:pPr>
            <w:r w:rsidRPr="006E0231">
              <w:rPr>
                <w:rFonts w:asciiTheme="minorHAnsi" w:hAnsiTheme="minorHAnsi" w:cs="Calibri"/>
                <w:i/>
                <w:iCs/>
                <w:color w:val="000000"/>
              </w:rPr>
              <w:t>Savings</w:t>
            </w:r>
          </w:p>
        </w:tc>
        <w:tc>
          <w:tcPr>
            <w:tcW w:w="1369" w:type="dxa"/>
            <w:tcBorders>
              <w:top w:val="nil"/>
              <w:left w:val="nil"/>
              <w:bottom w:val="single" w:sz="4" w:space="0" w:color="auto"/>
              <w:right w:val="single" w:sz="4" w:space="0" w:color="auto"/>
            </w:tcBorders>
            <w:shd w:val="clear" w:color="auto" w:fill="auto"/>
            <w:noWrap/>
            <w:vAlign w:val="center"/>
            <w:hideMark/>
          </w:tcPr>
          <w:p w14:paraId="787AB46A" w14:textId="77777777"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(1,745)</w:t>
            </w:r>
          </w:p>
        </w:tc>
        <w:tc>
          <w:tcPr>
            <w:tcW w:w="1361" w:type="dxa"/>
            <w:tcBorders>
              <w:top w:val="nil"/>
              <w:left w:val="nil"/>
              <w:bottom w:val="single" w:sz="4" w:space="0" w:color="auto"/>
              <w:right w:val="single" w:sz="4" w:space="0" w:color="auto"/>
            </w:tcBorders>
            <w:shd w:val="clear" w:color="auto" w:fill="auto"/>
            <w:noWrap/>
            <w:vAlign w:val="center"/>
            <w:hideMark/>
          </w:tcPr>
          <w:p w14:paraId="166846A3" w14:textId="63A7AA03"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1" w:type="dxa"/>
            <w:tcBorders>
              <w:top w:val="nil"/>
              <w:left w:val="nil"/>
              <w:bottom w:val="single" w:sz="4" w:space="0" w:color="auto"/>
              <w:right w:val="single" w:sz="4" w:space="0" w:color="auto"/>
            </w:tcBorders>
            <w:shd w:val="clear" w:color="auto" w:fill="auto"/>
            <w:noWrap/>
            <w:vAlign w:val="center"/>
            <w:hideMark/>
          </w:tcPr>
          <w:p w14:paraId="396AA612" w14:textId="3232178C"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1" w:type="dxa"/>
            <w:tcBorders>
              <w:top w:val="nil"/>
              <w:left w:val="nil"/>
              <w:bottom w:val="single" w:sz="4" w:space="0" w:color="auto"/>
              <w:right w:val="single" w:sz="4" w:space="0" w:color="auto"/>
            </w:tcBorders>
            <w:shd w:val="clear" w:color="auto" w:fill="auto"/>
            <w:noWrap/>
            <w:vAlign w:val="center"/>
            <w:hideMark/>
          </w:tcPr>
          <w:p w14:paraId="4B71C59F" w14:textId="46BE2343"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1" w:type="dxa"/>
            <w:tcBorders>
              <w:top w:val="nil"/>
              <w:left w:val="nil"/>
              <w:bottom w:val="single" w:sz="4" w:space="0" w:color="auto"/>
              <w:right w:val="single" w:sz="4" w:space="0" w:color="auto"/>
            </w:tcBorders>
            <w:shd w:val="clear" w:color="auto" w:fill="auto"/>
            <w:noWrap/>
            <w:vAlign w:val="center"/>
            <w:hideMark/>
          </w:tcPr>
          <w:p w14:paraId="66B750BB" w14:textId="075B8D2C"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EB2470" w:rsidRPr="006E0231" w14:paraId="18C29E8E" w14:textId="77777777" w:rsidTr="00A46DC0">
        <w:trPr>
          <w:trHeight w:val="144"/>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14:paraId="3A627F54" w14:textId="77777777" w:rsidR="00EB2470" w:rsidRPr="006E0231" w:rsidRDefault="00EB2470" w:rsidP="006E0231">
            <w:pPr>
              <w:jc w:val="both"/>
              <w:rPr>
                <w:rFonts w:asciiTheme="minorHAnsi" w:hAnsiTheme="minorHAnsi" w:cs="Calibri"/>
                <w:b/>
                <w:bCs/>
                <w:i/>
                <w:iCs/>
                <w:color w:val="000000"/>
              </w:rPr>
            </w:pPr>
            <w:r w:rsidRPr="006E0231">
              <w:rPr>
                <w:rFonts w:asciiTheme="minorHAnsi" w:hAnsiTheme="minorHAnsi" w:cs="Calibri"/>
                <w:b/>
                <w:bCs/>
                <w:i/>
                <w:iCs/>
                <w:color w:val="000000"/>
              </w:rPr>
              <w:t>Total Change</w:t>
            </w:r>
          </w:p>
        </w:tc>
        <w:tc>
          <w:tcPr>
            <w:tcW w:w="1369" w:type="dxa"/>
            <w:tcBorders>
              <w:top w:val="nil"/>
              <w:left w:val="nil"/>
              <w:bottom w:val="single" w:sz="4" w:space="0" w:color="auto"/>
              <w:right w:val="single" w:sz="4" w:space="0" w:color="auto"/>
            </w:tcBorders>
            <w:shd w:val="clear" w:color="auto" w:fill="auto"/>
            <w:noWrap/>
            <w:vAlign w:val="center"/>
            <w:hideMark/>
          </w:tcPr>
          <w:p w14:paraId="6FBB95AD" w14:textId="5E437D91"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$(645)</w:t>
            </w:r>
          </w:p>
        </w:tc>
        <w:tc>
          <w:tcPr>
            <w:tcW w:w="1361" w:type="dxa"/>
            <w:tcBorders>
              <w:top w:val="nil"/>
              <w:left w:val="nil"/>
              <w:bottom w:val="single" w:sz="4" w:space="0" w:color="auto"/>
              <w:right w:val="single" w:sz="4" w:space="0" w:color="auto"/>
            </w:tcBorders>
            <w:shd w:val="clear" w:color="auto" w:fill="auto"/>
            <w:noWrap/>
            <w:vAlign w:val="center"/>
            <w:hideMark/>
          </w:tcPr>
          <w:p w14:paraId="0A69F7BA" w14:textId="325E9D95"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$824</w:t>
            </w:r>
          </w:p>
        </w:tc>
        <w:tc>
          <w:tcPr>
            <w:tcW w:w="1361" w:type="dxa"/>
            <w:tcBorders>
              <w:top w:val="nil"/>
              <w:left w:val="nil"/>
              <w:bottom w:val="single" w:sz="4" w:space="0" w:color="auto"/>
              <w:right w:val="single" w:sz="4" w:space="0" w:color="auto"/>
            </w:tcBorders>
            <w:shd w:val="clear" w:color="auto" w:fill="auto"/>
            <w:noWrap/>
            <w:vAlign w:val="center"/>
            <w:hideMark/>
          </w:tcPr>
          <w:p w14:paraId="1E514103" w14:textId="37B18716"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$224</w:t>
            </w:r>
          </w:p>
        </w:tc>
        <w:tc>
          <w:tcPr>
            <w:tcW w:w="1361" w:type="dxa"/>
            <w:tcBorders>
              <w:top w:val="nil"/>
              <w:left w:val="nil"/>
              <w:bottom w:val="single" w:sz="4" w:space="0" w:color="auto"/>
              <w:right w:val="single" w:sz="4" w:space="0" w:color="auto"/>
            </w:tcBorders>
            <w:shd w:val="clear" w:color="auto" w:fill="auto"/>
            <w:noWrap/>
            <w:vAlign w:val="center"/>
            <w:hideMark/>
          </w:tcPr>
          <w:p w14:paraId="2E37CA89" w14:textId="59E6A96E"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$224</w:t>
            </w:r>
          </w:p>
        </w:tc>
        <w:tc>
          <w:tcPr>
            <w:tcW w:w="1361" w:type="dxa"/>
            <w:tcBorders>
              <w:top w:val="nil"/>
              <w:left w:val="nil"/>
              <w:bottom w:val="single" w:sz="4" w:space="0" w:color="auto"/>
              <w:right w:val="single" w:sz="4" w:space="0" w:color="auto"/>
            </w:tcBorders>
            <w:shd w:val="clear" w:color="auto" w:fill="auto"/>
            <w:noWrap/>
            <w:vAlign w:val="center"/>
            <w:hideMark/>
          </w:tcPr>
          <w:p w14:paraId="2D61B752" w14:textId="47345D70"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$224</w:t>
            </w:r>
          </w:p>
        </w:tc>
      </w:tr>
      <w:tr w:rsidR="00EB2470" w:rsidRPr="006E0231" w14:paraId="3F4B32B1" w14:textId="77777777" w:rsidTr="00A46DC0">
        <w:trPr>
          <w:trHeight w:val="144"/>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14:paraId="7D497849" w14:textId="77777777" w:rsidR="00EB2470" w:rsidRPr="006E0231" w:rsidRDefault="00EB2470" w:rsidP="006E0231">
            <w:pPr>
              <w:jc w:val="both"/>
              <w:rPr>
                <w:rFonts w:asciiTheme="minorHAnsi" w:hAnsiTheme="minorHAnsi" w:cs="Calibri"/>
                <w:b/>
                <w:bCs/>
                <w:color w:val="0070C0"/>
              </w:rPr>
            </w:pPr>
            <w:r w:rsidRPr="006E0231">
              <w:rPr>
                <w:rFonts w:asciiTheme="minorHAnsi" w:hAnsiTheme="minorHAnsi" w:cs="Calibri"/>
                <w:b/>
                <w:bCs/>
                <w:color w:val="0070C0"/>
              </w:rPr>
              <w:t>FY22 Exec</w:t>
            </w:r>
          </w:p>
        </w:tc>
        <w:tc>
          <w:tcPr>
            <w:tcW w:w="1369" w:type="dxa"/>
            <w:tcBorders>
              <w:top w:val="nil"/>
              <w:left w:val="nil"/>
              <w:bottom w:val="single" w:sz="4" w:space="0" w:color="auto"/>
              <w:right w:val="single" w:sz="4" w:space="0" w:color="auto"/>
            </w:tcBorders>
            <w:shd w:val="clear" w:color="auto" w:fill="auto"/>
            <w:noWrap/>
            <w:vAlign w:val="center"/>
            <w:hideMark/>
          </w:tcPr>
          <w:p w14:paraId="06988C66" w14:textId="4F12F30A"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$45,875</w:t>
            </w:r>
          </w:p>
        </w:tc>
        <w:tc>
          <w:tcPr>
            <w:tcW w:w="1361" w:type="dxa"/>
            <w:tcBorders>
              <w:top w:val="nil"/>
              <w:left w:val="nil"/>
              <w:bottom w:val="single" w:sz="4" w:space="0" w:color="auto"/>
              <w:right w:val="single" w:sz="4" w:space="0" w:color="auto"/>
            </w:tcBorders>
            <w:shd w:val="clear" w:color="auto" w:fill="auto"/>
            <w:noWrap/>
            <w:vAlign w:val="center"/>
            <w:hideMark/>
          </w:tcPr>
          <w:p w14:paraId="254ECC8B" w14:textId="72CA1CFE"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$52,036</w:t>
            </w:r>
          </w:p>
        </w:tc>
        <w:tc>
          <w:tcPr>
            <w:tcW w:w="1361" w:type="dxa"/>
            <w:tcBorders>
              <w:top w:val="nil"/>
              <w:left w:val="nil"/>
              <w:bottom w:val="single" w:sz="4" w:space="0" w:color="auto"/>
              <w:right w:val="single" w:sz="4" w:space="0" w:color="auto"/>
            </w:tcBorders>
            <w:shd w:val="clear" w:color="auto" w:fill="auto"/>
            <w:noWrap/>
            <w:vAlign w:val="center"/>
            <w:hideMark/>
          </w:tcPr>
          <w:p w14:paraId="5B09BFC5" w14:textId="4D7EB972"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$51,436</w:t>
            </w:r>
          </w:p>
        </w:tc>
        <w:tc>
          <w:tcPr>
            <w:tcW w:w="1361" w:type="dxa"/>
            <w:tcBorders>
              <w:top w:val="nil"/>
              <w:left w:val="nil"/>
              <w:bottom w:val="single" w:sz="4" w:space="0" w:color="auto"/>
              <w:right w:val="single" w:sz="4" w:space="0" w:color="auto"/>
            </w:tcBorders>
            <w:shd w:val="clear" w:color="auto" w:fill="auto"/>
            <w:noWrap/>
            <w:vAlign w:val="center"/>
            <w:hideMark/>
          </w:tcPr>
          <w:p w14:paraId="200EC927" w14:textId="57C91DA6"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$51,436</w:t>
            </w:r>
          </w:p>
        </w:tc>
        <w:tc>
          <w:tcPr>
            <w:tcW w:w="1361" w:type="dxa"/>
            <w:tcBorders>
              <w:top w:val="nil"/>
              <w:left w:val="nil"/>
              <w:bottom w:val="single" w:sz="4" w:space="0" w:color="auto"/>
              <w:right w:val="single" w:sz="4" w:space="0" w:color="auto"/>
            </w:tcBorders>
            <w:shd w:val="clear" w:color="auto" w:fill="auto"/>
            <w:noWrap/>
            <w:vAlign w:val="center"/>
            <w:hideMark/>
          </w:tcPr>
          <w:p w14:paraId="724795D0" w14:textId="1FE3E3E1"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$51,436</w:t>
            </w:r>
          </w:p>
        </w:tc>
      </w:tr>
    </w:tbl>
    <w:p w14:paraId="60226653" w14:textId="196BE744" w:rsidR="00EB2470" w:rsidRPr="006E0231" w:rsidRDefault="00EB2470" w:rsidP="16194CFB">
      <w:pPr>
        <w:spacing w:before="120"/>
        <w:jc w:val="both"/>
        <w:rPr>
          <w:rFonts w:asciiTheme="minorHAnsi" w:hAnsiTheme="minorHAnsi" w:cstheme="minorBidi"/>
          <w:color w:val="000000" w:themeColor="text1"/>
        </w:rPr>
      </w:pPr>
      <w:r w:rsidRPr="16194CFB">
        <w:rPr>
          <w:rFonts w:asciiTheme="minorHAnsi" w:hAnsiTheme="minorHAnsi" w:cstheme="minorBidi"/>
          <w:color w:val="000000" w:themeColor="text1"/>
        </w:rPr>
        <w:t xml:space="preserve">As mentioned above, OATH’s Fiscal 2022 budget totals $52 million, and its $824,000 more than its Fiscal 2022 Preliminary Budget. OATH’s current year budget totals $45.9 million, </w:t>
      </w:r>
      <w:r w:rsidR="6897B594" w:rsidRPr="16194CFB">
        <w:rPr>
          <w:rFonts w:asciiTheme="minorHAnsi" w:hAnsiTheme="minorHAnsi" w:cstheme="minorBidi"/>
          <w:color w:val="000000" w:themeColor="text1"/>
        </w:rPr>
        <w:t>which is</w:t>
      </w:r>
      <w:r w:rsidRPr="16194CFB">
        <w:rPr>
          <w:rFonts w:asciiTheme="minorHAnsi" w:hAnsiTheme="minorHAnsi" w:cstheme="minorBidi"/>
          <w:color w:val="000000" w:themeColor="text1"/>
        </w:rPr>
        <w:t xml:space="preserve"> $645,000 less than its Preliminary Budget, primarily due to its savings program. However, OATH’s budget increase</w:t>
      </w:r>
      <w:r w:rsidR="438D1344" w:rsidRPr="16194CFB">
        <w:rPr>
          <w:rFonts w:asciiTheme="minorHAnsi" w:hAnsiTheme="minorHAnsi" w:cstheme="minorBidi"/>
          <w:color w:val="000000" w:themeColor="text1"/>
        </w:rPr>
        <w:t>s</w:t>
      </w:r>
      <w:r w:rsidRPr="16194CFB">
        <w:rPr>
          <w:rFonts w:asciiTheme="minorHAnsi" w:hAnsiTheme="minorHAnsi" w:cstheme="minorBidi"/>
          <w:color w:val="000000" w:themeColor="text1"/>
        </w:rPr>
        <w:t xml:space="preserve"> in Fiscal 2022 and the </w:t>
      </w:r>
      <w:proofErr w:type="spellStart"/>
      <w:r w:rsidRPr="16194CFB">
        <w:rPr>
          <w:rFonts w:asciiTheme="minorHAnsi" w:hAnsiTheme="minorHAnsi" w:cstheme="minorBidi"/>
          <w:color w:val="000000" w:themeColor="text1"/>
        </w:rPr>
        <w:t>outyears</w:t>
      </w:r>
      <w:proofErr w:type="spellEnd"/>
      <w:r w:rsidRPr="16194CFB">
        <w:rPr>
          <w:rFonts w:asciiTheme="minorHAnsi" w:hAnsiTheme="minorHAnsi" w:cstheme="minorBidi"/>
          <w:color w:val="000000" w:themeColor="text1"/>
        </w:rPr>
        <w:t xml:space="preserve"> due to its new needs and other adjustments</w:t>
      </w:r>
      <w:r w:rsidR="09C9751E" w:rsidRPr="16194CFB">
        <w:rPr>
          <w:rFonts w:asciiTheme="minorHAnsi" w:hAnsiTheme="minorHAnsi" w:cstheme="minorBidi"/>
          <w:color w:val="000000" w:themeColor="text1"/>
        </w:rPr>
        <w:t>.</w:t>
      </w:r>
      <w:r w:rsidRPr="16194CFB">
        <w:rPr>
          <w:rFonts w:asciiTheme="minorHAnsi" w:hAnsiTheme="minorHAnsi" w:cstheme="minorBidi"/>
          <w:color w:val="000000" w:themeColor="text1"/>
        </w:rPr>
        <w:t xml:space="preserve"> </w:t>
      </w:r>
    </w:p>
    <w:p w14:paraId="32906E85" w14:textId="6B8A763D" w:rsidR="00EB2470" w:rsidRPr="006E0231" w:rsidRDefault="016C548F" w:rsidP="16194CFB">
      <w:pPr>
        <w:spacing w:before="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OATH </w:t>
      </w:r>
      <w:r w:rsidR="00EB2470" w:rsidRPr="16194CFB">
        <w:rPr>
          <w:rFonts w:asciiTheme="minorHAnsi" w:hAnsiTheme="minorHAnsi" w:cstheme="minorBidi"/>
          <w:b/>
          <w:bCs/>
          <w:color w:val="000000" w:themeColor="text1"/>
        </w:rPr>
        <w:t>New Needs</w:t>
      </w:r>
    </w:p>
    <w:p w14:paraId="5ECD4F25" w14:textId="68BF8F09" w:rsidR="00EB2470" w:rsidRPr="006E0231" w:rsidRDefault="00EB2470" w:rsidP="006E0231">
      <w:pPr>
        <w:pStyle w:val="ListParagraph"/>
        <w:numPr>
          <w:ilvl w:val="0"/>
          <w:numId w:val="5"/>
        </w:numPr>
        <w:spacing w:before="12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Telephonic Hearing Services. </w:t>
      </w:r>
      <w:r w:rsidR="007F37C8" w:rsidRPr="006E0231">
        <w:rPr>
          <w:rFonts w:asciiTheme="minorHAnsi" w:hAnsiTheme="minorHAnsi" w:cstheme="minorHAnsi"/>
          <w:color w:val="000000" w:themeColor="text1"/>
        </w:rPr>
        <w:t xml:space="preserve">The Fiscal 2022 Executive Budget includes one-time new needs of $600,000 in Fiscal 2022 for additional costs associated with telephonic hearing services for OATH hearings. Since the beginning of the COVID-19 pandemic, OATH transitioned to remote telephone or video conference hearings to prevent in person hearings to curtail the spread of the COVID-19 pandemic. </w:t>
      </w:r>
    </w:p>
    <w:p w14:paraId="4DF8397B" w14:textId="5B51B7AA" w:rsidR="00EB2470" w:rsidRPr="006E0231" w:rsidRDefault="4438D464" w:rsidP="16194CFB">
      <w:pPr>
        <w:spacing w:before="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OATH </w:t>
      </w:r>
      <w:r w:rsidR="00EB2470" w:rsidRPr="16194CFB">
        <w:rPr>
          <w:rFonts w:asciiTheme="minorHAnsi" w:hAnsiTheme="minorHAnsi" w:cstheme="minorBidi"/>
          <w:b/>
          <w:bCs/>
          <w:color w:val="000000" w:themeColor="text1"/>
        </w:rPr>
        <w:t>Other Adjustments</w:t>
      </w:r>
    </w:p>
    <w:p w14:paraId="63516729" w14:textId="6EFAD495" w:rsidR="007F37C8" w:rsidRPr="006E0231" w:rsidRDefault="007F37C8" w:rsidP="006E0231">
      <w:pPr>
        <w:pStyle w:val="ListParagraph"/>
        <w:numPr>
          <w:ilvl w:val="0"/>
          <w:numId w:val="14"/>
        </w:numPr>
        <w:spacing w:before="12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Collective Bargaining. </w:t>
      </w:r>
      <w:r w:rsidRPr="006E0231">
        <w:rPr>
          <w:rFonts w:asciiTheme="minorHAnsi" w:hAnsiTheme="minorHAnsi" w:cstheme="minorHAnsi"/>
          <w:color w:val="000000" w:themeColor="text1"/>
        </w:rPr>
        <w:t>The Fiscal 2022 Executive Budget includes baselined other adjustments of $2,312 beginning in Fiscal 2021 to address collective bargaining issues at OATH</w:t>
      </w:r>
      <w:r w:rsidR="00331D5F" w:rsidRPr="006E0231">
        <w:rPr>
          <w:rFonts w:asciiTheme="minorHAnsi" w:hAnsiTheme="minorHAnsi" w:cstheme="minorHAnsi"/>
          <w:color w:val="000000" w:themeColor="text1"/>
        </w:rPr>
        <w:t xml:space="preserve"> with DC-37 workers. </w:t>
      </w:r>
    </w:p>
    <w:p w14:paraId="6BBA3EE5" w14:textId="125D010B" w:rsidR="007F37C8" w:rsidRPr="006E0231" w:rsidRDefault="007F37C8" w:rsidP="00A46DC0">
      <w:pPr>
        <w:pStyle w:val="ListParagraph"/>
        <w:numPr>
          <w:ilvl w:val="0"/>
          <w:numId w:val="14"/>
        </w:numPr>
        <w:spacing w:after="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lastRenderedPageBreak/>
        <w:t xml:space="preserve">Coronavirus Relief Fund (CRF). </w:t>
      </w:r>
      <w:r w:rsidRPr="16194CFB">
        <w:rPr>
          <w:rFonts w:asciiTheme="minorHAnsi" w:hAnsiTheme="minorHAnsi" w:cstheme="minorBidi"/>
          <w:color w:val="000000" w:themeColor="text1"/>
        </w:rPr>
        <w:t xml:space="preserve">The Fiscal 2022 Executive Budget includes $1.1 million in Fiscal 2021 for the Coronavirus Relief Fund. </w:t>
      </w:r>
      <w:r w:rsidR="006E0231" w:rsidRPr="16194CFB">
        <w:rPr>
          <w:rFonts w:asciiTheme="minorHAnsi" w:hAnsiTheme="minorHAnsi" w:cstheme="minorBidi"/>
          <w:color w:val="000000" w:themeColor="text1"/>
        </w:rPr>
        <w:t xml:space="preserve">The majority of this funding </w:t>
      </w:r>
      <w:proofErr w:type="gramStart"/>
      <w:r w:rsidR="006E0231" w:rsidRPr="16194CFB">
        <w:rPr>
          <w:rFonts w:asciiTheme="minorHAnsi" w:hAnsiTheme="minorHAnsi" w:cstheme="minorBidi"/>
          <w:color w:val="000000" w:themeColor="text1"/>
        </w:rPr>
        <w:t>has been allocated</w:t>
      </w:r>
      <w:proofErr w:type="gramEnd"/>
      <w:r w:rsidR="006E0231" w:rsidRPr="16194CFB">
        <w:rPr>
          <w:rFonts w:asciiTheme="minorHAnsi" w:hAnsiTheme="minorHAnsi" w:cstheme="minorBidi"/>
          <w:color w:val="000000" w:themeColor="text1"/>
        </w:rPr>
        <w:t xml:space="preserve"> for OTPS purposes, to reimburse </w:t>
      </w:r>
      <w:proofErr w:type="spellStart"/>
      <w:r w:rsidR="0FF141C6" w:rsidRPr="16194CFB">
        <w:rPr>
          <w:rFonts w:asciiTheme="minorHAnsi" w:hAnsiTheme="minorHAnsi" w:cstheme="minorBidi"/>
          <w:color w:val="000000" w:themeColor="text1"/>
        </w:rPr>
        <w:t>OATH</w:t>
      </w:r>
      <w:r w:rsidR="006E0231" w:rsidRPr="16194CFB">
        <w:rPr>
          <w:rFonts w:asciiTheme="minorHAnsi" w:hAnsiTheme="minorHAnsi" w:cstheme="minorBidi"/>
          <w:color w:val="000000" w:themeColor="text1"/>
        </w:rPr>
        <w:t>for</w:t>
      </w:r>
      <w:proofErr w:type="spellEnd"/>
      <w:r w:rsidR="006E0231" w:rsidRPr="16194CFB">
        <w:rPr>
          <w:rFonts w:asciiTheme="minorHAnsi" w:hAnsiTheme="minorHAnsi" w:cstheme="minorBidi"/>
          <w:color w:val="000000" w:themeColor="text1"/>
        </w:rPr>
        <w:t xml:space="preserve"> the contracting purchase of additional telephonic services, for online telephonic hearings brought about by COVID-19. </w:t>
      </w:r>
    </w:p>
    <w:p w14:paraId="2AF8E4BF" w14:textId="6A95E8AC" w:rsidR="007F37C8" w:rsidRPr="006E0231" w:rsidRDefault="007F37C8" w:rsidP="00A46DC0">
      <w:pPr>
        <w:pStyle w:val="ListParagraph"/>
        <w:numPr>
          <w:ilvl w:val="0"/>
          <w:numId w:val="13"/>
        </w:numPr>
        <w:spacing w:after="120"/>
        <w:contextualSpacing w:val="0"/>
        <w:jc w:val="both"/>
        <w:rPr>
          <w:rFonts w:asciiTheme="minorHAnsi" w:hAnsiTheme="minorHAnsi" w:cstheme="minorBidi"/>
          <w:b/>
          <w:bCs/>
          <w:color w:val="000000" w:themeColor="text1"/>
        </w:rPr>
      </w:pPr>
      <w:r w:rsidRPr="006E0231">
        <w:rPr>
          <w:rFonts w:asciiTheme="minorHAnsi" w:hAnsiTheme="minorHAnsi" w:cstheme="minorHAnsi"/>
          <w:b/>
          <w:bCs/>
          <w:color w:val="000000" w:themeColor="text1"/>
        </w:rPr>
        <w:t xml:space="preserve">Heat, Light and Power. </w:t>
      </w:r>
      <w:r w:rsidRPr="006E0231">
        <w:rPr>
          <w:rFonts w:asciiTheme="minorHAnsi" w:hAnsiTheme="minorHAnsi" w:cstheme="minorBidi"/>
          <w:color w:val="000000" w:themeColor="text1"/>
        </w:rPr>
        <w:t xml:space="preserve">The Fiscal 2022 Executive Budget includes a decrease of $11,284 in Fiscal 2021, and a funding </w:t>
      </w:r>
      <w:proofErr w:type="gramStart"/>
      <w:r w:rsidRPr="006E0231">
        <w:rPr>
          <w:rFonts w:asciiTheme="minorHAnsi" w:hAnsiTheme="minorHAnsi" w:cstheme="minorBidi"/>
          <w:color w:val="000000" w:themeColor="text1"/>
        </w:rPr>
        <w:t>adjustment which</w:t>
      </w:r>
      <w:proofErr w:type="gramEnd"/>
      <w:r w:rsidRPr="006E0231">
        <w:rPr>
          <w:rFonts w:asciiTheme="minorHAnsi" w:hAnsiTheme="minorHAnsi" w:cstheme="minorBidi"/>
          <w:color w:val="000000" w:themeColor="text1"/>
        </w:rPr>
        <w:t xml:space="preserve"> increases FISA’s heat, light and power budget by $3,586 beginning in Fiscal 2022. </w:t>
      </w:r>
    </w:p>
    <w:p w14:paraId="70830D15" w14:textId="4F72BE6D" w:rsidR="00EB2470" w:rsidRPr="006E0231" w:rsidRDefault="007F37C8" w:rsidP="00A46DC0">
      <w:pPr>
        <w:pStyle w:val="ListParagraph"/>
        <w:numPr>
          <w:ilvl w:val="0"/>
          <w:numId w:val="13"/>
        </w:numPr>
        <w:spacing w:after="120"/>
        <w:contextualSpacing w:val="0"/>
        <w:jc w:val="both"/>
        <w:rPr>
          <w:rFonts w:asciiTheme="minorHAnsi" w:hAnsiTheme="minorHAnsi" w:cstheme="minorBidi"/>
          <w:b/>
          <w:bCs/>
          <w:color w:val="000000" w:themeColor="text1"/>
        </w:rPr>
      </w:pPr>
      <w:r w:rsidRPr="006E0231">
        <w:rPr>
          <w:rFonts w:asciiTheme="minorHAnsi" w:hAnsiTheme="minorHAnsi" w:cstheme="minorHAnsi"/>
          <w:b/>
          <w:bCs/>
          <w:color w:val="000000" w:themeColor="text1"/>
        </w:rPr>
        <w:t xml:space="preserve">Lease Adjustment. </w:t>
      </w:r>
      <w:r w:rsidRPr="006E0231">
        <w:rPr>
          <w:rFonts w:asciiTheme="minorHAnsi" w:hAnsiTheme="minorHAnsi" w:cstheme="minorBidi"/>
          <w:color w:val="000000" w:themeColor="text1"/>
        </w:rPr>
        <w:t>The Fiscal 2022 Executive Budget includes a baselined increase of $217,772 beginning in Fiscal 2022 for increased lease expenditures at OATH offices across the City.</w:t>
      </w:r>
    </w:p>
    <w:p w14:paraId="1DA235AD" w14:textId="4F2BDB15" w:rsidR="00EB2470" w:rsidRPr="006E0231" w:rsidRDefault="694795AC" w:rsidP="16194CFB">
      <w:pPr>
        <w:spacing w:before="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OATH </w:t>
      </w:r>
      <w:r w:rsidR="00EB2470" w:rsidRPr="16194CFB">
        <w:rPr>
          <w:rFonts w:asciiTheme="minorHAnsi" w:hAnsiTheme="minorHAnsi" w:cstheme="minorBidi"/>
          <w:b/>
          <w:bCs/>
          <w:color w:val="000000" w:themeColor="text1"/>
        </w:rPr>
        <w:t>Savings Program</w:t>
      </w:r>
    </w:p>
    <w:p w14:paraId="38F2FDC5" w14:textId="2F7470A7" w:rsidR="00EB2470" w:rsidRPr="006E0231" w:rsidRDefault="00EB2470" w:rsidP="00A46DC0">
      <w:pPr>
        <w:pStyle w:val="ListParagraph"/>
        <w:numPr>
          <w:ilvl w:val="0"/>
          <w:numId w:val="5"/>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OTPS Savings. </w:t>
      </w:r>
      <w:r w:rsidRPr="16194CFB">
        <w:rPr>
          <w:rFonts w:asciiTheme="minorHAnsi" w:hAnsiTheme="minorHAnsi" w:cstheme="minorBidi"/>
          <w:color w:val="000000" w:themeColor="text1"/>
        </w:rPr>
        <w:t xml:space="preserve">OATH will generate one-time savings of $1.5 million in Fiscal 2021 due to less than anticipated spending in OTPS spending across the agency. </w:t>
      </w:r>
      <w:r w:rsidR="00555F74" w:rsidRPr="16194CFB">
        <w:rPr>
          <w:rFonts w:asciiTheme="minorHAnsi" w:hAnsiTheme="minorHAnsi" w:cstheme="minorBidi"/>
          <w:color w:val="000000" w:themeColor="text1"/>
        </w:rPr>
        <w:t>The majority of these savings</w:t>
      </w:r>
      <w:r w:rsidR="006E0231" w:rsidRPr="16194CFB">
        <w:rPr>
          <w:rFonts w:asciiTheme="minorHAnsi" w:hAnsiTheme="minorHAnsi" w:cstheme="minorBidi"/>
          <w:color w:val="000000" w:themeColor="text1"/>
        </w:rPr>
        <w:t xml:space="preserve"> are</w:t>
      </w:r>
      <w:r w:rsidR="00555F74" w:rsidRPr="16194CFB">
        <w:rPr>
          <w:rFonts w:asciiTheme="minorHAnsi" w:hAnsiTheme="minorHAnsi" w:cstheme="minorBidi"/>
          <w:color w:val="000000" w:themeColor="text1"/>
        </w:rPr>
        <w:t xml:space="preserve"> associated with </w:t>
      </w:r>
      <w:r w:rsidR="006E0231" w:rsidRPr="16194CFB">
        <w:rPr>
          <w:rFonts w:asciiTheme="minorHAnsi" w:hAnsiTheme="minorHAnsi" w:cstheme="minorBidi"/>
          <w:color w:val="000000" w:themeColor="text1"/>
        </w:rPr>
        <w:t xml:space="preserve">the reduced need </w:t>
      </w:r>
      <w:r w:rsidR="39AD6214" w:rsidRPr="16194CFB">
        <w:rPr>
          <w:rFonts w:asciiTheme="minorHAnsi" w:hAnsiTheme="minorHAnsi" w:cstheme="minorBidi"/>
          <w:color w:val="000000" w:themeColor="text1"/>
        </w:rPr>
        <w:t>for</w:t>
      </w:r>
      <w:r w:rsidR="006E0231" w:rsidRPr="16194CFB">
        <w:rPr>
          <w:rFonts w:asciiTheme="minorHAnsi" w:hAnsiTheme="minorHAnsi" w:cstheme="minorBidi"/>
          <w:color w:val="000000" w:themeColor="text1"/>
        </w:rPr>
        <w:t xml:space="preserve"> security guards due to the lack of in-person hearings because of COVID-19. </w:t>
      </w:r>
    </w:p>
    <w:p w14:paraId="2E953A88" w14:textId="7D01AD83" w:rsidR="0007467A" w:rsidRPr="006E0231" w:rsidRDefault="00EB2470" w:rsidP="00A46DC0">
      <w:pPr>
        <w:pStyle w:val="ListParagraph"/>
        <w:numPr>
          <w:ilvl w:val="0"/>
          <w:numId w:val="5"/>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PS Savings.</w:t>
      </w:r>
      <w:r w:rsidRPr="16194CFB">
        <w:rPr>
          <w:rFonts w:asciiTheme="minorHAnsi" w:hAnsiTheme="minorHAnsi" w:cstheme="minorBidi"/>
        </w:rPr>
        <w:t xml:space="preserve"> OATH will generate one-time savings of $300,000 in Fiscal 2021 due to less than anticipated spending in PS spending across the agency.</w:t>
      </w:r>
      <w:r w:rsidR="00555F74" w:rsidRPr="16194CFB">
        <w:rPr>
          <w:rFonts w:asciiTheme="minorHAnsi" w:hAnsiTheme="minorHAnsi" w:cstheme="minorBidi"/>
        </w:rPr>
        <w:t xml:space="preserve"> </w:t>
      </w:r>
      <w:r w:rsidR="006E0231" w:rsidRPr="16194CFB">
        <w:rPr>
          <w:rFonts w:asciiTheme="minorHAnsi" w:hAnsiTheme="minorHAnsi" w:cstheme="minorBidi"/>
        </w:rPr>
        <w:t>These savings are associated</w:t>
      </w:r>
      <w:r w:rsidR="00555F74" w:rsidRPr="16194CFB">
        <w:rPr>
          <w:rFonts w:asciiTheme="minorHAnsi" w:hAnsiTheme="minorHAnsi" w:cstheme="minorBidi"/>
        </w:rPr>
        <w:t xml:space="preserve"> with the reduced need of per-diem hearing offices due to the lack of in</w:t>
      </w:r>
      <w:r w:rsidR="006E0231" w:rsidRPr="16194CFB">
        <w:rPr>
          <w:rFonts w:asciiTheme="minorHAnsi" w:hAnsiTheme="minorHAnsi" w:cstheme="minorBidi"/>
        </w:rPr>
        <w:t>-</w:t>
      </w:r>
      <w:r w:rsidR="00555F74" w:rsidRPr="16194CFB">
        <w:rPr>
          <w:rFonts w:asciiTheme="minorHAnsi" w:hAnsiTheme="minorHAnsi" w:cstheme="minorBidi"/>
        </w:rPr>
        <w:t xml:space="preserve"> person hearings because of COVID-19. </w:t>
      </w:r>
      <w:r w:rsidRPr="16194CFB">
        <w:rPr>
          <w:rFonts w:asciiTheme="minorHAnsi" w:hAnsiTheme="minorHAnsi" w:cstheme="minorBidi"/>
        </w:rPr>
        <w:t xml:space="preserve"> </w:t>
      </w:r>
    </w:p>
    <w:p w14:paraId="12723BCB" w14:textId="0324D627" w:rsidR="00EB2470" w:rsidRPr="006E0231" w:rsidRDefault="00EB2470" w:rsidP="006E0231">
      <w:pPr>
        <w:spacing w:before="120"/>
        <w:jc w:val="both"/>
        <w:rPr>
          <w:rFonts w:asciiTheme="minorHAnsi" w:hAnsiTheme="minorHAnsi" w:cstheme="minorBidi"/>
          <w:b/>
          <w:bCs/>
          <w:color w:val="4472C4" w:themeColor="accent1"/>
          <w:sz w:val="28"/>
          <w:szCs w:val="28"/>
          <w:shd w:val="clear" w:color="auto" w:fill="FFFFFF"/>
        </w:rPr>
      </w:pPr>
      <w:r w:rsidRPr="006E0231">
        <w:rPr>
          <w:rFonts w:asciiTheme="minorHAnsi" w:hAnsiTheme="minorHAnsi" w:cstheme="minorBidi"/>
          <w:b/>
          <w:bCs/>
          <w:color w:val="4472C4" w:themeColor="accent1"/>
          <w:sz w:val="28"/>
          <w:szCs w:val="28"/>
          <w:shd w:val="clear" w:color="auto" w:fill="FFFFFF"/>
        </w:rPr>
        <w:t>Department of Records and Information Services (DORIS)</w:t>
      </w:r>
    </w:p>
    <w:p w14:paraId="0BCB16F9" w14:textId="102930BB" w:rsidR="00EB2470" w:rsidRDefault="00EB2470" w:rsidP="006E0231">
      <w:pPr>
        <w:spacing w:before="120"/>
        <w:jc w:val="both"/>
        <w:rPr>
          <w:rFonts w:asciiTheme="minorHAnsi" w:hAnsiTheme="minorHAnsi" w:cstheme="minorHAnsi"/>
          <w:color w:val="000000" w:themeColor="text1"/>
        </w:rPr>
      </w:pPr>
      <w:r w:rsidRPr="006E0231">
        <w:rPr>
          <w:rFonts w:asciiTheme="minorHAnsi" w:hAnsiTheme="minorHAnsi" w:cstheme="minorHAnsi"/>
          <w:color w:val="000000" w:themeColor="text1"/>
        </w:rPr>
        <w:t xml:space="preserve">DORIS’s Fiscal 2022 budget, as of the release of the Executive budget, totals $16.9 million, including $4.7 million in Personal Services (PS) funding to support 61 full-time positions, and $11.9 million in Other Than Personal Services (OTPS) funding. Below is a table detailing DORIS’ 5-year budget as of the release of the Fiscal 2022 Executive budget, compared to its Fiscal 2022 Preliminary budget. </w:t>
      </w:r>
    </w:p>
    <w:p w14:paraId="6851EDCB" w14:textId="61271812" w:rsidR="0007467A" w:rsidRPr="006E0231" w:rsidRDefault="0007467A" w:rsidP="16194CFB">
      <w:pPr>
        <w:spacing w:before="120"/>
        <w:jc w:val="both"/>
        <w:rPr>
          <w:color w:val="000000" w:themeColor="text1"/>
        </w:rPr>
      </w:pPr>
    </w:p>
    <w:tbl>
      <w:tblPr>
        <w:tblW w:w="8920" w:type="dxa"/>
        <w:tblLook w:val="04A0" w:firstRow="1" w:lastRow="0" w:firstColumn="1" w:lastColumn="0" w:noHBand="0" w:noVBand="1"/>
      </w:tblPr>
      <w:tblGrid>
        <w:gridCol w:w="2110"/>
        <w:gridCol w:w="1362"/>
        <w:gridCol w:w="1362"/>
        <w:gridCol w:w="1362"/>
        <w:gridCol w:w="1362"/>
        <w:gridCol w:w="1362"/>
      </w:tblGrid>
      <w:tr w:rsidR="00EB2470" w:rsidRPr="006E0231" w14:paraId="15F373CF" w14:textId="77777777" w:rsidTr="00A46DC0">
        <w:trPr>
          <w:trHeight w:val="144"/>
        </w:trPr>
        <w:tc>
          <w:tcPr>
            <w:tcW w:w="89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50CA9" w14:textId="77777777" w:rsidR="00EB2470" w:rsidRPr="006E0231" w:rsidRDefault="00EB2470" w:rsidP="006E0231">
            <w:pPr>
              <w:jc w:val="center"/>
              <w:rPr>
                <w:rFonts w:asciiTheme="minorHAnsi" w:hAnsiTheme="minorHAnsi" w:cs="Calibri"/>
                <w:b/>
                <w:bCs/>
                <w:color w:val="0070C0"/>
              </w:rPr>
            </w:pPr>
            <w:r w:rsidRPr="006E0231">
              <w:rPr>
                <w:rFonts w:asciiTheme="minorHAnsi" w:hAnsiTheme="minorHAnsi" w:cs="Calibri"/>
                <w:b/>
                <w:bCs/>
                <w:color w:val="0070C0"/>
              </w:rPr>
              <w:t>Department of Records and Information Services (DORIS)</w:t>
            </w:r>
          </w:p>
        </w:tc>
      </w:tr>
      <w:tr w:rsidR="00EB2470" w:rsidRPr="006E0231" w14:paraId="2CC0C352"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AE7975" w14:textId="5CD3558E" w:rsidR="00EB2470" w:rsidRPr="006E0231" w:rsidRDefault="00EB2470" w:rsidP="006E0231">
            <w:pPr>
              <w:jc w:val="both"/>
              <w:rPr>
                <w:rFonts w:asciiTheme="minorHAnsi" w:hAnsiTheme="minorHAnsi" w:cs="Calibri"/>
                <w:b/>
                <w:bCs/>
                <w:i/>
                <w:iCs/>
                <w:color w:val="000000"/>
                <w:sz w:val="20"/>
                <w:szCs w:val="20"/>
              </w:rPr>
            </w:pPr>
            <w:r w:rsidRPr="006E0231">
              <w:rPr>
                <w:rFonts w:asciiTheme="minorHAnsi" w:hAnsiTheme="minorHAnsi" w:cs="Calibri"/>
                <w:b/>
                <w:bCs/>
                <w:i/>
                <w:iCs/>
                <w:color w:val="000000"/>
                <w:sz w:val="20"/>
                <w:szCs w:val="20"/>
              </w:rPr>
              <w:t> Dollars in Thousands</w:t>
            </w:r>
          </w:p>
        </w:tc>
        <w:tc>
          <w:tcPr>
            <w:tcW w:w="1362" w:type="dxa"/>
            <w:tcBorders>
              <w:top w:val="nil"/>
              <w:left w:val="nil"/>
              <w:bottom w:val="single" w:sz="4" w:space="0" w:color="auto"/>
              <w:right w:val="single" w:sz="4" w:space="0" w:color="auto"/>
            </w:tcBorders>
            <w:shd w:val="clear" w:color="auto" w:fill="auto"/>
            <w:noWrap/>
            <w:vAlign w:val="center"/>
            <w:hideMark/>
          </w:tcPr>
          <w:p w14:paraId="3B764C41"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FY21</w:t>
            </w:r>
          </w:p>
        </w:tc>
        <w:tc>
          <w:tcPr>
            <w:tcW w:w="1362" w:type="dxa"/>
            <w:tcBorders>
              <w:top w:val="nil"/>
              <w:left w:val="nil"/>
              <w:bottom w:val="single" w:sz="4" w:space="0" w:color="auto"/>
              <w:right w:val="single" w:sz="4" w:space="0" w:color="auto"/>
            </w:tcBorders>
            <w:shd w:val="clear" w:color="auto" w:fill="auto"/>
            <w:noWrap/>
            <w:vAlign w:val="center"/>
            <w:hideMark/>
          </w:tcPr>
          <w:p w14:paraId="44582FC8"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FY22</w:t>
            </w:r>
          </w:p>
        </w:tc>
        <w:tc>
          <w:tcPr>
            <w:tcW w:w="1362" w:type="dxa"/>
            <w:tcBorders>
              <w:top w:val="nil"/>
              <w:left w:val="nil"/>
              <w:bottom w:val="single" w:sz="4" w:space="0" w:color="auto"/>
              <w:right w:val="single" w:sz="4" w:space="0" w:color="auto"/>
            </w:tcBorders>
            <w:shd w:val="clear" w:color="auto" w:fill="auto"/>
            <w:noWrap/>
            <w:vAlign w:val="center"/>
            <w:hideMark/>
          </w:tcPr>
          <w:p w14:paraId="062DE127"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FY23</w:t>
            </w:r>
          </w:p>
        </w:tc>
        <w:tc>
          <w:tcPr>
            <w:tcW w:w="1362" w:type="dxa"/>
            <w:tcBorders>
              <w:top w:val="nil"/>
              <w:left w:val="nil"/>
              <w:bottom w:val="single" w:sz="4" w:space="0" w:color="auto"/>
              <w:right w:val="single" w:sz="4" w:space="0" w:color="auto"/>
            </w:tcBorders>
            <w:shd w:val="clear" w:color="auto" w:fill="auto"/>
            <w:noWrap/>
            <w:vAlign w:val="center"/>
            <w:hideMark/>
          </w:tcPr>
          <w:p w14:paraId="29235250"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FY24</w:t>
            </w:r>
          </w:p>
        </w:tc>
        <w:tc>
          <w:tcPr>
            <w:tcW w:w="1362" w:type="dxa"/>
            <w:tcBorders>
              <w:top w:val="nil"/>
              <w:left w:val="nil"/>
              <w:bottom w:val="single" w:sz="4" w:space="0" w:color="auto"/>
              <w:right w:val="single" w:sz="4" w:space="0" w:color="auto"/>
            </w:tcBorders>
            <w:shd w:val="clear" w:color="auto" w:fill="auto"/>
            <w:noWrap/>
            <w:vAlign w:val="center"/>
            <w:hideMark/>
          </w:tcPr>
          <w:p w14:paraId="4B1982EE" w14:textId="77777777" w:rsidR="00EB2470" w:rsidRPr="006E0231" w:rsidRDefault="00EB2470" w:rsidP="006E0231">
            <w:pPr>
              <w:jc w:val="center"/>
              <w:rPr>
                <w:rFonts w:asciiTheme="minorHAnsi" w:hAnsiTheme="minorHAnsi" w:cs="Calibri"/>
                <w:b/>
                <w:bCs/>
                <w:color w:val="000000"/>
              </w:rPr>
            </w:pPr>
            <w:r w:rsidRPr="006E0231">
              <w:rPr>
                <w:rFonts w:asciiTheme="minorHAnsi" w:hAnsiTheme="minorHAnsi" w:cs="Calibri"/>
                <w:b/>
                <w:bCs/>
                <w:color w:val="000000"/>
              </w:rPr>
              <w:t>FY25</w:t>
            </w:r>
          </w:p>
        </w:tc>
      </w:tr>
      <w:tr w:rsidR="00EB2470" w:rsidRPr="006E0231" w14:paraId="2113CE93"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A11F8FA" w14:textId="77777777" w:rsidR="00EB2470" w:rsidRPr="006E0231" w:rsidRDefault="00EB2470" w:rsidP="006E0231">
            <w:pPr>
              <w:jc w:val="both"/>
              <w:rPr>
                <w:rFonts w:asciiTheme="minorHAnsi" w:hAnsiTheme="minorHAnsi" w:cs="Calibri"/>
                <w:b/>
                <w:bCs/>
                <w:color w:val="0070C0"/>
              </w:rPr>
            </w:pPr>
            <w:r w:rsidRPr="006E0231">
              <w:rPr>
                <w:rFonts w:asciiTheme="minorHAnsi" w:hAnsiTheme="minorHAnsi" w:cs="Calibri"/>
                <w:b/>
                <w:bCs/>
                <w:color w:val="0070C0"/>
              </w:rPr>
              <w:t>FY22 Prelim</w:t>
            </w:r>
          </w:p>
        </w:tc>
        <w:tc>
          <w:tcPr>
            <w:tcW w:w="1362" w:type="dxa"/>
            <w:tcBorders>
              <w:top w:val="nil"/>
              <w:left w:val="nil"/>
              <w:bottom w:val="single" w:sz="4" w:space="0" w:color="auto"/>
              <w:right w:val="single" w:sz="4" w:space="0" w:color="auto"/>
            </w:tcBorders>
            <w:shd w:val="clear" w:color="auto" w:fill="auto"/>
            <w:noWrap/>
            <w:vAlign w:val="center"/>
            <w:hideMark/>
          </w:tcPr>
          <w:p w14:paraId="1E898702" w14:textId="432BB267"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$11,189</w:t>
            </w:r>
          </w:p>
        </w:tc>
        <w:tc>
          <w:tcPr>
            <w:tcW w:w="1362" w:type="dxa"/>
            <w:tcBorders>
              <w:top w:val="nil"/>
              <w:left w:val="nil"/>
              <w:bottom w:val="single" w:sz="4" w:space="0" w:color="auto"/>
              <w:right w:val="single" w:sz="4" w:space="0" w:color="auto"/>
            </w:tcBorders>
            <w:shd w:val="clear" w:color="auto" w:fill="auto"/>
            <w:noWrap/>
            <w:vAlign w:val="center"/>
            <w:hideMark/>
          </w:tcPr>
          <w:p w14:paraId="1D0D18B1" w14:textId="7689EA06"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$16,320</w:t>
            </w:r>
          </w:p>
        </w:tc>
        <w:tc>
          <w:tcPr>
            <w:tcW w:w="1362" w:type="dxa"/>
            <w:tcBorders>
              <w:top w:val="nil"/>
              <w:left w:val="nil"/>
              <w:bottom w:val="single" w:sz="4" w:space="0" w:color="auto"/>
              <w:right w:val="single" w:sz="4" w:space="0" w:color="auto"/>
            </w:tcBorders>
            <w:shd w:val="clear" w:color="auto" w:fill="auto"/>
            <w:noWrap/>
            <w:vAlign w:val="center"/>
            <w:hideMark/>
          </w:tcPr>
          <w:p w14:paraId="1A790449" w14:textId="769968E7"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$16,502</w:t>
            </w:r>
          </w:p>
        </w:tc>
        <w:tc>
          <w:tcPr>
            <w:tcW w:w="1362" w:type="dxa"/>
            <w:tcBorders>
              <w:top w:val="nil"/>
              <w:left w:val="nil"/>
              <w:bottom w:val="single" w:sz="4" w:space="0" w:color="auto"/>
              <w:right w:val="single" w:sz="4" w:space="0" w:color="auto"/>
            </w:tcBorders>
            <w:shd w:val="clear" w:color="auto" w:fill="auto"/>
            <w:noWrap/>
            <w:vAlign w:val="center"/>
            <w:hideMark/>
          </w:tcPr>
          <w:p w14:paraId="2FA63106" w14:textId="017D4E15"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$16,502</w:t>
            </w:r>
          </w:p>
        </w:tc>
        <w:tc>
          <w:tcPr>
            <w:tcW w:w="1362" w:type="dxa"/>
            <w:tcBorders>
              <w:top w:val="nil"/>
              <w:left w:val="nil"/>
              <w:bottom w:val="single" w:sz="4" w:space="0" w:color="auto"/>
              <w:right w:val="single" w:sz="4" w:space="0" w:color="auto"/>
            </w:tcBorders>
            <w:shd w:val="clear" w:color="auto" w:fill="auto"/>
            <w:noWrap/>
            <w:vAlign w:val="center"/>
            <w:hideMark/>
          </w:tcPr>
          <w:p w14:paraId="15B3781E" w14:textId="2C56D595"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$16,502</w:t>
            </w:r>
          </w:p>
        </w:tc>
      </w:tr>
      <w:tr w:rsidR="00EB2470" w:rsidRPr="006E0231" w14:paraId="15B7A4DE"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E88F4F" w14:textId="77777777" w:rsidR="00EB2470" w:rsidRPr="006E0231" w:rsidRDefault="00EB2470" w:rsidP="006E0231">
            <w:pPr>
              <w:jc w:val="both"/>
              <w:rPr>
                <w:rFonts w:asciiTheme="minorHAnsi" w:hAnsiTheme="minorHAnsi" w:cs="Calibri"/>
                <w:i/>
                <w:iCs/>
                <w:color w:val="000000"/>
              </w:rPr>
            </w:pPr>
            <w:r w:rsidRPr="006E0231">
              <w:rPr>
                <w:rFonts w:asciiTheme="minorHAnsi" w:hAnsiTheme="minorHAnsi" w:cs="Calibri"/>
                <w:i/>
                <w:iCs/>
                <w:color w:val="000000"/>
              </w:rPr>
              <w:t>New Needs</w:t>
            </w:r>
          </w:p>
        </w:tc>
        <w:tc>
          <w:tcPr>
            <w:tcW w:w="1362" w:type="dxa"/>
            <w:tcBorders>
              <w:top w:val="nil"/>
              <w:left w:val="nil"/>
              <w:bottom w:val="single" w:sz="4" w:space="0" w:color="auto"/>
              <w:right w:val="single" w:sz="4" w:space="0" w:color="auto"/>
            </w:tcBorders>
            <w:shd w:val="clear" w:color="auto" w:fill="auto"/>
            <w:noWrap/>
            <w:vAlign w:val="center"/>
            <w:hideMark/>
          </w:tcPr>
          <w:p w14:paraId="67CE7C20" w14:textId="1A4C8CCC"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2" w:type="dxa"/>
            <w:tcBorders>
              <w:top w:val="nil"/>
              <w:left w:val="nil"/>
              <w:bottom w:val="single" w:sz="4" w:space="0" w:color="auto"/>
              <w:right w:val="single" w:sz="4" w:space="0" w:color="auto"/>
            </w:tcBorders>
            <w:shd w:val="clear" w:color="auto" w:fill="auto"/>
            <w:noWrap/>
            <w:vAlign w:val="center"/>
            <w:hideMark/>
          </w:tcPr>
          <w:p w14:paraId="777CBAD4" w14:textId="05C23585"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189</w:t>
            </w:r>
          </w:p>
        </w:tc>
        <w:tc>
          <w:tcPr>
            <w:tcW w:w="1362" w:type="dxa"/>
            <w:tcBorders>
              <w:top w:val="nil"/>
              <w:left w:val="nil"/>
              <w:bottom w:val="single" w:sz="4" w:space="0" w:color="auto"/>
              <w:right w:val="single" w:sz="4" w:space="0" w:color="auto"/>
            </w:tcBorders>
            <w:shd w:val="clear" w:color="auto" w:fill="auto"/>
            <w:noWrap/>
            <w:vAlign w:val="center"/>
            <w:hideMark/>
          </w:tcPr>
          <w:p w14:paraId="071843BE" w14:textId="068BE6C4"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56</w:t>
            </w:r>
          </w:p>
        </w:tc>
        <w:tc>
          <w:tcPr>
            <w:tcW w:w="1362" w:type="dxa"/>
            <w:tcBorders>
              <w:top w:val="nil"/>
              <w:left w:val="nil"/>
              <w:bottom w:val="single" w:sz="4" w:space="0" w:color="auto"/>
              <w:right w:val="single" w:sz="4" w:space="0" w:color="auto"/>
            </w:tcBorders>
            <w:shd w:val="clear" w:color="auto" w:fill="auto"/>
            <w:noWrap/>
            <w:vAlign w:val="center"/>
            <w:hideMark/>
          </w:tcPr>
          <w:p w14:paraId="48EB72B7" w14:textId="4020B090"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56</w:t>
            </w:r>
          </w:p>
        </w:tc>
        <w:tc>
          <w:tcPr>
            <w:tcW w:w="1362" w:type="dxa"/>
            <w:tcBorders>
              <w:top w:val="nil"/>
              <w:left w:val="nil"/>
              <w:bottom w:val="single" w:sz="4" w:space="0" w:color="auto"/>
              <w:right w:val="single" w:sz="4" w:space="0" w:color="auto"/>
            </w:tcBorders>
            <w:shd w:val="clear" w:color="auto" w:fill="auto"/>
            <w:noWrap/>
            <w:vAlign w:val="center"/>
            <w:hideMark/>
          </w:tcPr>
          <w:p w14:paraId="0B9CB425" w14:textId="41226977"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56</w:t>
            </w:r>
          </w:p>
        </w:tc>
      </w:tr>
      <w:tr w:rsidR="00EB2470" w:rsidRPr="006E0231" w14:paraId="055E9FB0"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13C9FAE" w14:textId="77777777" w:rsidR="00EB2470" w:rsidRPr="006E0231" w:rsidRDefault="00EB2470" w:rsidP="006E0231">
            <w:pPr>
              <w:jc w:val="both"/>
              <w:rPr>
                <w:rFonts w:asciiTheme="minorHAnsi" w:hAnsiTheme="minorHAnsi" w:cs="Calibri"/>
                <w:i/>
                <w:iCs/>
                <w:color w:val="000000"/>
              </w:rPr>
            </w:pPr>
            <w:r w:rsidRPr="006E0231">
              <w:rPr>
                <w:rFonts w:asciiTheme="minorHAnsi" w:hAnsiTheme="minorHAnsi" w:cs="Calibri"/>
                <w:i/>
                <w:iCs/>
                <w:color w:val="000000"/>
              </w:rPr>
              <w:t>Other Adjustments</w:t>
            </w:r>
          </w:p>
        </w:tc>
        <w:tc>
          <w:tcPr>
            <w:tcW w:w="1362" w:type="dxa"/>
            <w:tcBorders>
              <w:top w:val="nil"/>
              <w:left w:val="nil"/>
              <w:bottom w:val="single" w:sz="4" w:space="0" w:color="auto"/>
              <w:right w:val="single" w:sz="4" w:space="0" w:color="auto"/>
            </w:tcBorders>
            <w:shd w:val="clear" w:color="auto" w:fill="auto"/>
            <w:noWrap/>
            <w:vAlign w:val="center"/>
            <w:hideMark/>
          </w:tcPr>
          <w:p w14:paraId="4DC6B78B" w14:textId="6034DC4F"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140</w:t>
            </w:r>
          </w:p>
        </w:tc>
        <w:tc>
          <w:tcPr>
            <w:tcW w:w="1362" w:type="dxa"/>
            <w:tcBorders>
              <w:top w:val="nil"/>
              <w:left w:val="nil"/>
              <w:bottom w:val="single" w:sz="4" w:space="0" w:color="auto"/>
              <w:right w:val="single" w:sz="4" w:space="0" w:color="auto"/>
            </w:tcBorders>
            <w:shd w:val="clear" w:color="auto" w:fill="auto"/>
            <w:noWrap/>
            <w:vAlign w:val="center"/>
            <w:hideMark/>
          </w:tcPr>
          <w:p w14:paraId="5B7C2776" w14:textId="66F4B9FC"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784</w:t>
            </w:r>
          </w:p>
        </w:tc>
        <w:tc>
          <w:tcPr>
            <w:tcW w:w="1362" w:type="dxa"/>
            <w:tcBorders>
              <w:top w:val="nil"/>
              <w:left w:val="nil"/>
              <w:bottom w:val="single" w:sz="4" w:space="0" w:color="auto"/>
              <w:right w:val="single" w:sz="4" w:space="0" w:color="auto"/>
            </w:tcBorders>
            <w:shd w:val="clear" w:color="auto" w:fill="auto"/>
            <w:noWrap/>
            <w:vAlign w:val="center"/>
            <w:hideMark/>
          </w:tcPr>
          <w:p w14:paraId="4502BD26" w14:textId="558FD8FB"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786</w:t>
            </w:r>
          </w:p>
        </w:tc>
        <w:tc>
          <w:tcPr>
            <w:tcW w:w="1362" w:type="dxa"/>
            <w:tcBorders>
              <w:top w:val="nil"/>
              <w:left w:val="nil"/>
              <w:bottom w:val="single" w:sz="4" w:space="0" w:color="auto"/>
              <w:right w:val="single" w:sz="4" w:space="0" w:color="auto"/>
            </w:tcBorders>
            <w:shd w:val="clear" w:color="auto" w:fill="auto"/>
            <w:noWrap/>
            <w:vAlign w:val="center"/>
            <w:hideMark/>
          </w:tcPr>
          <w:p w14:paraId="151F2822" w14:textId="0A83E642"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786</w:t>
            </w:r>
          </w:p>
        </w:tc>
        <w:tc>
          <w:tcPr>
            <w:tcW w:w="1362" w:type="dxa"/>
            <w:tcBorders>
              <w:top w:val="nil"/>
              <w:left w:val="nil"/>
              <w:bottom w:val="single" w:sz="4" w:space="0" w:color="auto"/>
              <w:right w:val="single" w:sz="4" w:space="0" w:color="auto"/>
            </w:tcBorders>
            <w:shd w:val="clear" w:color="auto" w:fill="auto"/>
            <w:noWrap/>
            <w:vAlign w:val="center"/>
            <w:hideMark/>
          </w:tcPr>
          <w:p w14:paraId="67536535" w14:textId="012539FD"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786</w:t>
            </w:r>
          </w:p>
        </w:tc>
      </w:tr>
      <w:tr w:rsidR="00EB2470" w:rsidRPr="006E0231" w14:paraId="205DEE21"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20D8F7" w14:textId="77777777" w:rsidR="00EB2470" w:rsidRPr="006E0231" w:rsidRDefault="00EB2470" w:rsidP="006E0231">
            <w:pPr>
              <w:jc w:val="both"/>
              <w:rPr>
                <w:rFonts w:asciiTheme="minorHAnsi" w:hAnsiTheme="minorHAnsi" w:cs="Calibri"/>
                <w:i/>
                <w:iCs/>
                <w:color w:val="000000"/>
              </w:rPr>
            </w:pPr>
            <w:r w:rsidRPr="006E0231">
              <w:rPr>
                <w:rFonts w:asciiTheme="minorHAnsi" w:hAnsiTheme="minorHAnsi" w:cs="Calibri"/>
                <w:i/>
                <w:iCs/>
                <w:color w:val="000000"/>
              </w:rPr>
              <w:t>Savings</w:t>
            </w:r>
          </w:p>
        </w:tc>
        <w:tc>
          <w:tcPr>
            <w:tcW w:w="1362" w:type="dxa"/>
            <w:tcBorders>
              <w:top w:val="nil"/>
              <w:left w:val="nil"/>
              <w:bottom w:val="single" w:sz="4" w:space="0" w:color="auto"/>
              <w:right w:val="single" w:sz="4" w:space="0" w:color="auto"/>
            </w:tcBorders>
            <w:shd w:val="clear" w:color="auto" w:fill="auto"/>
            <w:noWrap/>
            <w:vAlign w:val="center"/>
            <w:hideMark/>
          </w:tcPr>
          <w:p w14:paraId="79302DC8" w14:textId="77777777"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(107)</w:t>
            </w:r>
          </w:p>
        </w:tc>
        <w:tc>
          <w:tcPr>
            <w:tcW w:w="1362" w:type="dxa"/>
            <w:tcBorders>
              <w:top w:val="nil"/>
              <w:left w:val="nil"/>
              <w:bottom w:val="single" w:sz="4" w:space="0" w:color="auto"/>
              <w:right w:val="single" w:sz="4" w:space="0" w:color="auto"/>
            </w:tcBorders>
            <w:shd w:val="clear" w:color="auto" w:fill="auto"/>
            <w:noWrap/>
            <w:vAlign w:val="center"/>
            <w:hideMark/>
          </w:tcPr>
          <w:p w14:paraId="48593862" w14:textId="77777777"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(401)</w:t>
            </w:r>
          </w:p>
        </w:tc>
        <w:tc>
          <w:tcPr>
            <w:tcW w:w="1362" w:type="dxa"/>
            <w:tcBorders>
              <w:top w:val="nil"/>
              <w:left w:val="nil"/>
              <w:bottom w:val="single" w:sz="4" w:space="0" w:color="auto"/>
              <w:right w:val="single" w:sz="4" w:space="0" w:color="auto"/>
            </w:tcBorders>
            <w:shd w:val="clear" w:color="auto" w:fill="auto"/>
            <w:noWrap/>
            <w:vAlign w:val="center"/>
            <w:hideMark/>
          </w:tcPr>
          <w:p w14:paraId="21D4E2A4" w14:textId="77777777"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(401)</w:t>
            </w:r>
          </w:p>
        </w:tc>
        <w:tc>
          <w:tcPr>
            <w:tcW w:w="1362" w:type="dxa"/>
            <w:tcBorders>
              <w:top w:val="nil"/>
              <w:left w:val="nil"/>
              <w:bottom w:val="single" w:sz="4" w:space="0" w:color="auto"/>
              <w:right w:val="single" w:sz="4" w:space="0" w:color="auto"/>
            </w:tcBorders>
            <w:shd w:val="clear" w:color="auto" w:fill="auto"/>
            <w:noWrap/>
            <w:vAlign w:val="center"/>
            <w:hideMark/>
          </w:tcPr>
          <w:p w14:paraId="7F077BA6" w14:textId="77777777"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(401)</w:t>
            </w:r>
          </w:p>
        </w:tc>
        <w:tc>
          <w:tcPr>
            <w:tcW w:w="1362" w:type="dxa"/>
            <w:tcBorders>
              <w:top w:val="nil"/>
              <w:left w:val="nil"/>
              <w:bottom w:val="single" w:sz="4" w:space="0" w:color="auto"/>
              <w:right w:val="single" w:sz="4" w:space="0" w:color="auto"/>
            </w:tcBorders>
            <w:shd w:val="clear" w:color="auto" w:fill="auto"/>
            <w:noWrap/>
            <w:vAlign w:val="center"/>
            <w:hideMark/>
          </w:tcPr>
          <w:p w14:paraId="5D1F99D8" w14:textId="77777777" w:rsidR="00EB2470" w:rsidRPr="006E0231" w:rsidRDefault="00EB2470" w:rsidP="16194CFB">
            <w:pPr>
              <w:jc w:val="right"/>
              <w:rPr>
                <w:rFonts w:asciiTheme="minorHAnsi" w:hAnsiTheme="minorHAnsi" w:cs="Calibri"/>
                <w:color w:val="000000"/>
              </w:rPr>
            </w:pPr>
            <w:r w:rsidRPr="16194CFB">
              <w:rPr>
                <w:rFonts w:asciiTheme="minorHAnsi" w:hAnsiTheme="minorHAnsi" w:cs="Calibri"/>
                <w:color w:val="000000" w:themeColor="text1"/>
              </w:rPr>
              <w:t>(401)</w:t>
            </w:r>
          </w:p>
        </w:tc>
      </w:tr>
      <w:tr w:rsidR="00EB2470" w:rsidRPr="006E0231" w14:paraId="2F4F4235"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8528BA" w14:textId="77777777" w:rsidR="00EB2470" w:rsidRPr="006E0231" w:rsidRDefault="00EB2470" w:rsidP="006E0231">
            <w:pPr>
              <w:jc w:val="both"/>
              <w:rPr>
                <w:rFonts w:asciiTheme="minorHAnsi" w:hAnsiTheme="minorHAnsi" w:cs="Calibri"/>
                <w:b/>
                <w:bCs/>
                <w:i/>
                <w:iCs/>
                <w:color w:val="000000"/>
              </w:rPr>
            </w:pPr>
            <w:r w:rsidRPr="006E0231">
              <w:rPr>
                <w:rFonts w:asciiTheme="minorHAnsi" w:hAnsiTheme="minorHAnsi" w:cs="Calibri"/>
                <w:b/>
                <w:bCs/>
                <w:i/>
                <w:iCs/>
                <w:color w:val="000000"/>
              </w:rPr>
              <w:t>Total Change</w:t>
            </w:r>
          </w:p>
        </w:tc>
        <w:tc>
          <w:tcPr>
            <w:tcW w:w="1362" w:type="dxa"/>
            <w:tcBorders>
              <w:top w:val="nil"/>
              <w:left w:val="nil"/>
              <w:bottom w:val="single" w:sz="4" w:space="0" w:color="auto"/>
              <w:right w:val="single" w:sz="4" w:space="0" w:color="auto"/>
            </w:tcBorders>
            <w:shd w:val="clear" w:color="auto" w:fill="auto"/>
            <w:noWrap/>
            <w:vAlign w:val="center"/>
            <w:hideMark/>
          </w:tcPr>
          <w:p w14:paraId="65783F02" w14:textId="658EEEFE"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$33</w:t>
            </w:r>
          </w:p>
        </w:tc>
        <w:tc>
          <w:tcPr>
            <w:tcW w:w="1362" w:type="dxa"/>
            <w:tcBorders>
              <w:top w:val="nil"/>
              <w:left w:val="nil"/>
              <w:bottom w:val="single" w:sz="4" w:space="0" w:color="auto"/>
              <w:right w:val="single" w:sz="4" w:space="0" w:color="auto"/>
            </w:tcBorders>
            <w:shd w:val="clear" w:color="auto" w:fill="auto"/>
            <w:noWrap/>
            <w:vAlign w:val="center"/>
            <w:hideMark/>
          </w:tcPr>
          <w:p w14:paraId="51162EF4" w14:textId="64194D9D"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$572</w:t>
            </w:r>
          </w:p>
        </w:tc>
        <w:tc>
          <w:tcPr>
            <w:tcW w:w="1362" w:type="dxa"/>
            <w:tcBorders>
              <w:top w:val="nil"/>
              <w:left w:val="nil"/>
              <w:bottom w:val="single" w:sz="4" w:space="0" w:color="auto"/>
              <w:right w:val="single" w:sz="4" w:space="0" w:color="auto"/>
            </w:tcBorders>
            <w:shd w:val="clear" w:color="auto" w:fill="auto"/>
            <w:noWrap/>
            <w:vAlign w:val="center"/>
            <w:hideMark/>
          </w:tcPr>
          <w:p w14:paraId="5B1430D0" w14:textId="1B7A7D14"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$441</w:t>
            </w:r>
          </w:p>
        </w:tc>
        <w:tc>
          <w:tcPr>
            <w:tcW w:w="1362" w:type="dxa"/>
            <w:tcBorders>
              <w:top w:val="nil"/>
              <w:left w:val="nil"/>
              <w:bottom w:val="single" w:sz="4" w:space="0" w:color="auto"/>
              <w:right w:val="single" w:sz="4" w:space="0" w:color="auto"/>
            </w:tcBorders>
            <w:shd w:val="clear" w:color="auto" w:fill="auto"/>
            <w:noWrap/>
            <w:vAlign w:val="center"/>
            <w:hideMark/>
          </w:tcPr>
          <w:p w14:paraId="30A1842A" w14:textId="08C3D971"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$441</w:t>
            </w:r>
          </w:p>
        </w:tc>
        <w:tc>
          <w:tcPr>
            <w:tcW w:w="1362" w:type="dxa"/>
            <w:tcBorders>
              <w:top w:val="nil"/>
              <w:left w:val="nil"/>
              <w:bottom w:val="single" w:sz="4" w:space="0" w:color="auto"/>
              <w:right w:val="single" w:sz="4" w:space="0" w:color="auto"/>
            </w:tcBorders>
            <w:shd w:val="clear" w:color="auto" w:fill="auto"/>
            <w:noWrap/>
            <w:vAlign w:val="center"/>
            <w:hideMark/>
          </w:tcPr>
          <w:p w14:paraId="3F58089D" w14:textId="399DD6B8" w:rsidR="00EB2470" w:rsidRPr="006E0231" w:rsidRDefault="00EB247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$441</w:t>
            </w:r>
          </w:p>
        </w:tc>
      </w:tr>
      <w:tr w:rsidR="00EB2470" w:rsidRPr="006E0231" w14:paraId="6DC779D3"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ABB68F" w14:textId="77777777" w:rsidR="00EB2470" w:rsidRPr="006E0231" w:rsidRDefault="00EB2470" w:rsidP="006E0231">
            <w:pPr>
              <w:jc w:val="both"/>
              <w:rPr>
                <w:rFonts w:asciiTheme="minorHAnsi" w:hAnsiTheme="minorHAnsi" w:cs="Calibri"/>
                <w:b/>
                <w:bCs/>
                <w:color w:val="0070C0"/>
              </w:rPr>
            </w:pPr>
            <w:r w:rsidRPr="006E0231">
              <w:rPr>
                <w:rFonts w:asciiTheme="minorHAnsi" w:hAnsiTheme="minorHAnsi" w:cs="Calibri"/>
                <w:b/>
                <w:bCs/>
                <w:color w:val="0070C0"/>
              </w:rPr>
              <w:t>FY22 Exec</w:t>
            </w:r>
          </w:p>
        </w:tc>
        <w:tc>
          <w:tcPr>
            <w:tcW w:w="1362" w:type="dxa"/>
            <w:tcBorders>
              <w:top w:val="nil"/>
              <w:left w:val="nil"/>
              <w:bottom w:val="single" w:sz="4" w:space="0" w:color="auto"/>
              <w:right w:val="single" w:sz="4" w:space="0" w:color="auto"/>
            </w:tcBorders>
            <w:shd w:val="clear" w:color="auto" w:fill="auto"/>
            <w:noWrap/>
            <w:vAlign w:val="center"/>
            <w:hideMark/>
          </w:tcPr>
          <w:p w14:paraId="6C87547A" w14:textId="639EB1B7"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$11,223</w:t>
            </w:r>
          </w:p>
        </w:tc>
        <w:tc>
          <w:tcPr>
            <w:tcW w:w="1362" w:type="dxa"/>
            <w:tcBorders>
              <w:top w:val="nil"/>
              <w:left w:val="nil"/>
              <w:bottom w:val="single" w:sz="4" w:space="0" w:color="auto"/>
              <w:right w:val="single" w:sz="4" w:space="0" w:color="auto"/>
            </w:tcBorders>
            <w:shd w:val="clear" w:color="auto" w:fill="auto"/>
            <w:noWrap/>
            <w:vAlign w:val="center"/>
            <w:hideMark/>
          </w:tcPr>
          <w:p w14:paraId="1EC0C5EE" w14:textId="64026FD6"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$16,892</w:t>
            </w:r>
          </w:p>
        </w:tc>
        <w:tc>
          <w:tcPr>
            <w:tcW w:w="1362" w:type="dxa"/>
            <w:tcBorders>
              <w:top w:val="nil"/>
              <w:left w:val="nil"/>
              <w:bottom w:val="single" w:sz="4" w:space="0" w:color="auto"/>
              <w:right w:val="single" w:sz="4" w:space="0" w:color="auto"/>
            </w:tcBorders>
            <w:shd w:val="clear" w:color="auto" w:fill="auto"/>
            <w:noWrap/>
            <w:vAlign w:val="center"/>
            <w:hideMark/>
          </w:tcPr>
          <w:p w14:paraId="64760DCE" w14:textId="4B2F4966"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$16,943</w:t>
            </w:r>
          </w:p>
        </w:tc>
        <w:tc>
          <w:tcPr>
            <w:tcW w:w="1362" w:type="dxa"/>
            <w:tcBorders>
              <w:top w:val="nil"/>
              <w:left w:val="nil"/>
              <w:bottom w:val="single" w:sz="4" w:space="0" w:color="auto"/>
              <w:right w:val="single" w:sz="4" w:space="0" w:color="auto"/>
            </w:tcBorders>
            <w:shd w:val="clear" w:color="auto" w:fill="auto"/>
            <w:noWrap/>
            <w:vAlign w:val="center"/>
            <w:hideMark/>
          </w:tcPr>
          <w:p w14:paraId="1FFC8994" w14:textId="0BDA3273"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$16,943</w:t>
            </w:r>
          </w:p>
        </w:tc>
        <w:tc>
          <w:tcPr>
            <w:tcW w:w="1362" w:type="dxa"/>
            <w:tcBorders>
              <w:top w:val="nil"/>
              <w:left w:val="nil"/>
              <w:bottom w:val="single" w:sz="4" w:space="0" w:color="auto"/>
              <w:right w:val="single" w:sz="4" w:space="0" w:color="auto"/>
            </w:tcBorders>
            <w:shd w:val="clear" w:color="auto" w:fill="auto"/>
            <w:noWrap/>
            <w:vAlign w:val="center"/>
            <w:hideMark/>
          </w:tcPr>
          <w:p w14:paraId="3636C244" w14:textId="1AED95CE" w:rsidR="00EB2470" w:rsidRPr="006E0231" w:rsidRDefault="00EB247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$16,943</w:t>
            </w:r>
          </w:p>
        </w:tc>
      </w:tr>
    </w:tbl>
    <w:p w14:paraId="18CE18F8" w14:textId="2822E3DC" w:rsidR="00BE2AA0" w:rsidRPr="006E0231" w:rsidRDefault="00EB2470" w:rsidP="16194CFB">
      <w:pPr>
        <w:spacing w:before="120"/>
        <w:jc w:val="both"/>
        <w:rPr>
          <w:rFonts w:asciiTheme="minorHAnsi" w:hAnsiTheme="minorHAnsi" w:cstheme="minorBidi"/>
          <w:b/>
          <w:bCs/>
          <w:color w:val="000000" w:themeColor="text1"/>
        </w:rPr>
      </w:pPr>
      <w:r w:rsidRPr="16194CFB">
        <w:rPr>
          <w:rFonts w:asciiTheme="minorHAnsi" w:hAnsiTheme="minorHAnsi" w:cstheme="minorBidi"/>
          <w:color w:val="000000" w:themeColor="text1"/>
        </w:rPr>
        <w:t xml:space="preserve">As mentioned above, DORIS’ Fiscal 2022 budget totals $16.9 million, and is $572,000 more than its Fiscal 2022 Preliminary Budget. Additionally, DORIS’ current year budget totals $11.2 million and is $33,000 more than its Preliminary Budget, the increase of which </w:t>
      </w:r>
      <w:proofErr w:type="gramStart"/>
      <w:r w:rsidRPr="16194CFB">
        <w:rPr>
          <w:rFonts w:asciiTheme="minorHAnsi" w:hAnsiTheme="minorHAnsi" w:cstheme="minorBidi"/>
          <w:color w:val="000000" w:themeColor="text1"/>
        </w:rPr>
        <w:t xml:space="preserve">was </w:t>
      </w:r>
      <w:r w:rsidR="50287B0F" w:rsidRPr="16194CFB">
        <w:rPr>
          <w:rFonts w:asciiTheme="minorHAnsi" w:hAnsiTheme="minorHAnsi" w:cstheme="minorBidi"/>
          <w:color w:val="000000" w:themeColor="text1"/>
        </w:rPr>
        <w:t>mitigated</w:t>
      </w:r>
      <w:proofErr w:type="gramEnd"/>
      <w:r w:rsidRPr="16194CFB">
        <w:rPr>
          <w:rFonts w:asciiTheme="minorHAnsi" w:hAnsiTheme="minorHAnsi" w:cstheme="minorBidi"/>
          <w:color w:val="000000" w:themeColor="text1"/>
        </w:rPr>
        <w:t xml:space="preserve"> by the </w:t>
      </w:r>
      <w:r w:rsidRPr="16194CFB">
        <w:rPr>
          <w:rFonts w:asciiTheme="minorHAnsi" w:hAnsiTheme="minorHAnsi" w:cstheme="minorBidi"/>
          <w:color w:val="000000" w:themeColor="text1"/>
        </w:rPr>
        <w:lastRenderedPageBreak/>
        <w:t xml:space="preserve">Department’s savings program. However, increases in DORIS’ budget in Fiscal 2022 and the </w:t>
      </w:r>
      <w:proofErr w:type="spellStart"/>
      <w:r w:rsidRPr="16194CFB">
        <w:rPr>
          <w:rFonts w:asciiTheme="minorHAnsi" w:hAnsiTheme="minorHAnsi" w:cstheme="minorBidi"/>
          <w:color w:val="000000" w:themeColor="text1"/>
        </w:rPr>
        <w:t>outyears</w:t>
      </w:r>
      <w:proofErr w:type="spellEnd"/>
      <w:r w:rsidRPr="16194CFB">
        <w:rPr>
          <w:rFonts w:asciiTheme="minorHAnsi" w:hAnsiTheme="minorHAnsi" w:cstheme="minorBidi"/>
          <w:color w:val="000000" w:themeColor="text1"/>
        </w:rPr>
        <w:t xml:space="preserve"> is primarily due to its new needs package and other adjustments</w:t>
      </w:r>
      <w:r w:rsidR="093484DC" w:rsidRPr="16194CFB">
        <w:rPr>
          <w:rFonts w:asciiTheme="minorHAnsi" w:hAnsiTheme="minorHAnsi" w:cstheme="minorBidi"/>
          <w:color w:val="000000" w:themeColor="text1"/>
        </w:rPr>
        <w:t>.</w:t>
      </w:r>
    </w:p>
    <w:p w14:paraId="3D73B6A9" w14:textId="5D06A3D5" w:rsidR="00BE2AA0" w:rsidRPr="006E0231" w:rsidRDefault="1F487DCC" w:rsidP="16194CFB">
      <w:pPr>
        <w:spacing w:before="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DORIS </w:t>
      </w:r>
      <w:r w:rsidR="00BE2AA0" w:rsidRPr="16194CFB">
        <w:rPr>
          <w:rFonts w:asciiTheme="minorHAnsi" w:hAnsiTheme="minorHAnsi" w:cstheme="minorBidi"/>
          <w:b/>
          <w:bCs/>
          <w:color w:val="000000" w:themeColor="text1"/>
        </w:rPr>
        <w:t>New Needs</w:t>
      </w:r>
    </w:p>
    <w:p w14:paraId="4E5F0C0C" w14:textId="6A0B74AB" w:rsidR="006E0231" w:rsidRPr="006E0231" w:rsidRDefault="00BE2AA0" w:rsidP="00A46DC0">
      <w:pPr>
        <w:pStyle w:val="ListParagraph"/>
        <w:numPr>
          <w:ilvl w:val="0"/>
          <w:numId w:val="6"/>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Computer Associate. </w:t>
      </w:r>
      <w:r w:rsidR="006E0231" w:rsidRPr="16194CFB">
        <w:rPr>
          <w:rFonts w:asciiTheme="minorHAnsi" w:hAnsiTheme="minorHAnsi" w:cstheme="minorBidi"/>
          <w:color w:val="000000" w:themeColor="text1"/>
        </w:rPr>
        <w:t xml:space="preserve">The Fiscal 2022 Executive Budget includes baselined new needs of $56,000 beginning in Fiscal 2022 for a computer associate at </w:t>
      </w:r>
      <w:r w:rsidR="715A3A98" w:rsidRPr="16194CFB">
        <w:rPr>
          <w:rFonts w:asciiTheme="minorHAnsi" w:hAnsiTheme="minorHAnsi" w:cstheme="minorBidi"/>
          <w:color w:val="000000" w:themeColor="text1"/>
        </w:rPr>
        <w:t>DORIS</w:t>
      </w:r>
      <w:r w:rsidR="006E0231" w:rsidRPr="16194CFB">
        <w:rPr>
          <w:rFonts w:asciiTheme="minorHAnsi" w:hAnsiTheme="minorHAnsi" w:cstheme="minorBidi"/>
          <w:color w:val="000000" w:themeColor="text1"/>
        </w:rPr>
        <w:t xml:space="preserve">, primarily to support public-facing IT services. </w:t>
      </w:r>
    </w:p>
    <w:p w14:paraId="397DA3EB" w14:textId="3EFBA7DB" w:rsidR="006E0231" w:rsidRPr="006E0231" w:rsidRDefault="00BE2AA0" w:rsidP="00A46DC0">
      <w:pPr>
        <w:pStyle w:val="ListParagraph"/>
        <w:numPr>
          <w:ilvl w:val="0"/>
          <w:numId w:val="6"/>
        </w:numPr>
        <w:spacing w:before="120"/>
        <w:contextualSpacing w:val="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Temporary Warehouse Staff. </w:t>
      </w:r>
      <w:r w:rsidR="006E0231" w:rsidRPr="16194CFB">
        <w:rPr>
          <w:rFonts w:asciiTheme="minorHAnsi" w:hAnsiTheme="minorHAnsi" w:cstheme="minorBidi"/>
          <w:color w:val="000000" w:themeColor="text1"/>
        </w:rPr>
        <w:t xml:space="preserve">The Fiscal 2022 Executive Budget includes new needs of $132,512 in Fiscal 2022 for additional warehouse staff to aid </w:t>
      </w:r>
      <w:r w:rsidR="4713C626" w:rsidRPr="16194CFB">
        <w:rPr>
          <w:rFonts w:asciiTheme="minorHAnsi" w:hAnsiTheme="minorHAnsi" w:cstheme="minorBidi"/>
          <w:color w:val="000000" w:themeColor="text1"/>
        </w:rPr>
        <w:t>DORIS</w:t>
      </w:r>
      <w:r w:rsidR="006E0231" w:rsidRPr="16194CFB">
        <w:rPr>
          <w:rFonts w:asciiTheme="minorHAnsi" w:hAnsiTheme="minorHAnsi" w:cstheme="minorBidi"/>
          <w:color w:val="000000" w:themeColor="text1"/>
        </w:rPr>
        <w:t xml:space="preserve">’s Records Management Division, whose work </w:t>
      </w:r>
      <w:proofErr w:type="gramStart"/>
      <w:r w:rsidR="006E0231" w:rsidRPr="16194CFB">
        <w:rPr>
          <w:rFonts w:asciiTheme="minorHAnsi" w:hAnsiTheme="minorHAnsi" w:cstheme="minorBidi"/>
          <w:color w:val="000000" w:themeColor="text1"/>
        </w:rPr>
        <w:t>was delayed</w:t>
      </w:r>
      <w:proofErr w:type="gramEnd"/>
      <w:r w:rsidR="006E0231" w:rsidRPr="16194CFB">
        <w:rPr>
          <w:rFonts w:asciiTheme="minorHAnsi" w:hAnsiTheme="minorHAnsi" w:cstheme="minorBidi"/>
          <w:color w:val="000000" w:themeColor="text1"/>
        </w:rPr>
        <w:t xml:space="preserve"> due to COVID-19, in order to move citywide records from </w:t>
      </w:r>
      <w:r w:rsidR="59370DF6" w:rsidRPr="16194CFB">
        <w:rPr>
          <w:rFonts w:asciiTheme="minorHAnsi" w:hAnsiTheme="minorHAnsi" w:cstheme="minorBidi"/>
          <w:color w:val="000000" w:themeColor="text1"/>
        </w:rPr>
        <w:t>DORIS’</w:t>
      </w:r>
      <w:r w:rsidR="68737E2E" w:rsidRPr="16194CFB">
        <w:rPr>
          <w:rFonts w:asciiTheme="minorHAnsi" w:hAnsiTheme="minorHAnsi" w:cstheme="minorBidi"/>
          <w:color w:val="000000" w:themeColor="text1"/>
        </w:rPr>
        <w:t xml:space="preserve"> </w:t>
      </w:r>
      <w:r w:rsidR="006E0231" w:rsidRPr="16194CFB">
        <w:rPr>
          <w:rFonts w:asciiTheme="minorHAnsi" w:hAnsiTheme="minorHAnsi" w:cstheme="minorBidi"/>
          <w:color w:val="000000" w:themeColor="text1"/>
        </w:rPr>
        <w:t>in 111 White Street to warehouses in Industry City in Brooklyn.</w:t>
      </w:r>
      <w:r w:rsidR="006E0231" w:rsidRPr="16194CFB">
        <w:rPr>
          <w:rFonts w:asciiTheme="minorHAnsi" w:hAnsiTheme="minorHAnsi" w:cstheme="minorBidi"/>
          <w:b/>
          <w:bCs/>
          <w:color w:val="000000" w:themeColor="text1"/>
        </w:rPr>
        <w:t xml:space="preserve"> </w:t>
      </w:r>
    </w:p>
    <w:p w14:paraId="55AFF835" w14:textId="5036D1B4" w:rsidR="00BE2AA0" w:rsidRPr="006E0231" w:rsidRDefault="5F09A70D" w:rsidP="16194CFB">
      <w:pPr>
        <w:spacing w:before="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DORIS </w:t>
      </w:r>
      <w:r w:rsidR="00BE2AA0" w:rsidRPr="16194CFB">
        <w:rPr>
          <w:rFonts w:asciiTheme="minorHAnsi" w:hAnsiTheme="minorHAnsi" w:cstheme="minorBidi"/>
          <w:b/>
          <w:bCs/>
          <w:color w:val="000000" w:themeColor="text1"/>
        </w:rPr>
        <w:t>Other Adjustments</w:t>
      </w:r>
    </w:p>
    <w:p w14:paraId="3C9077E6" w14:textId="201A4F76" w:rsidR="00BE2AA0" w:rsidRPr="006E0231" w:rsidRDefault="007F37C8" w:rsidP="006E0231">
      <w:pPr>
        <w:pStyle w:val="ListParagraph"/>
        <w:numPr>
          <w:ilvl w:val="0"/>
          <w:numId w:val="13"/>
        </w:numPr>
        <w:spacing w:after="120"/>
        <w:jc w:val="both"/>
        <w:rPr>
          <w:rFonts w:asciiTheme="minorHAnsi" w:hAnsiTheme="minorHAnsi" w:cstheme="minorBidi"/>
          <w:b/>
          <w:bCs/>
          <w:color w:val="000000" w:themeColor="text1"/>
        </w:rPr>
      </w:pPr>
      <w:r w:rsidRPr="006E0231">
        <w:rPr>
          <w:rFonts w:asciiTheme="minorHAnsi" w:hAnsiTheme="minorHAnsi" w:cstheme="minorHAnsi"/>
          <w:b/>
          <w:bCs/>
          <w:color w:val="000000" w:themeColor="text1"/>
        </w:rPr>
        <w:t xml:space="preserve">Lease Adjustment. </w:t>
      </w:r>
      <w:r w:rsidRPr="006E0231">
        <w:rPr>
          <w:rFonts w:asciiTheme="minorHAnsi" w:hAnsiTheme="minorHAnsi" w:cstheme="minorBidi"/>
          <w:color w:val="000000" w:themeColor="text1"/>
        </w:rPr>
        <w:t xml:space="preserve">The Fiscal 2022 Executive Budget includes a baselined increase of $785,115 beginning in Fiscal 2022 for increased lease expenditures at DORIS offices in the City. </w:t>
      </w:r>
    </w:p>
    <w:p w14:paraId="00FF4055" w14:textId="51AAA665" w:rsidR="00BE2AA0" w:rsidRPr="006E0231" w:rsidRDefault="470BAF0E" w:rsidP="16194CFB">
      <w:pPr>
        <w:spacing w:before="120"/>
        <w:jc w:val="both"/>
        <w:rPr>
          <w:rFonts w:asciiTheme="minorHAnsi" w:hAnsiTheme="minorHAnsi" w:cstheme="minorBidi"/>
          <w:b/>
          <w:bCs/>
          <w:color w:val="000000" w:themeColor="text1"/>
        </w:rPr>
      </w:pPr>
      <w:r w:rsidRPr="16194CFB">
        <w:rPr>
          <w:rFonts w:asciiTheme="minorHAnsi" w:hAnsiTheme="minorHAnsi" w:cstheme="minorBidi"/>
          <w:b/>
          <w:bCs/>
          <w:color w:val="000000" w:themeColor="text1"/>
        </w:rPr>
        <w:t xml:space="preserve">DORIS </w:t>
      </w:r>
      <w:r w:rsidR="00BE2AA0" w:rsidRPr="16194CFB">
        <w:rPr>
          <w:rFonts w:asciiTheme="minorHAnsi" w:hAnsiTheme="minorHAnsi" w:cstheme="minorBidi"/>
          <w:b/>
          <w:bCs/>
          <w:color w:val="000000" w:themeColor="text1"/>
        </w:rPr>
        <w:t>Savings Program</w:t>
      </w:r>
    </w:p>
    <w:p w14:paraId="0AE71C0D" w14:textId="63D2E7C7" w:rsidR="00BE2AA0" w:rsidRPr="006E0231" w:rsidRDefault="00BE2AA0" w:rsidP="00A46DC0">
      <w:pPr>
        <w:pStyle w:val="ListParagraph"/>
        <w:numPr>
          <w:ilvl w:val="0"/>
          <w:numId w:val="7"/>
        </w:numPr>
        <w:spacing w:before="120"/>
        <w:contextualSpacing w:val="0"/>
        <w:jc w:val="both"/>
        <w:rPr>
          <w:rFonts w:asciiTheme="minorHAnsi" w:hAnsiTheme="minorHAnsi" w:cstheme="minorHAnsi"/>
          <w:b/>
          <w:bCs/>
          <w:color w:val="000000" w:themeColor="text1"/>
        </w:rPr>
      </w:pPr>
      <w:r w:rsidRPr="006E0231">
        <w:rPr>
          <w:rFonts w:asciiTheme="minorHAnsi" w:hAnsiTheme="minorHAnsi" w:cstheme="minorHAnsi"/>
          <w:b/>
          <w:bCs/>
          <w:color w:val="000000" w:themeColor="text1"/>
        </w:rPr>
        <w:t xml:space="preserve">Electronic Records Management System Re-estimate. </w:t>
      </w:r>
      <w:r w:rsidRPr="006E0231">
        <w:rPr>
          <w:rFonts w:asciiTheme="minorHAnsi" w:hAnsiTheme="minorHAnsi" w:cstheme="minorHAnsi"/>
          <w:color w:val="000000" w:themeColor="text1"/>
        </w:rPr>
        <w:t xml:space="preserve">DORIS will generate baselined savings of $401,000 beginning in Fiscal 2022 due to lower than anticipated costs for the rollout of the electronic records management system (ERMS). </w:t>
      </w:r>
    </w:p>
    <w:p w14:paraId="3B651A33" w14:textId="2AFB77D2" w:rsidR="006E1966" w:rsidRPr="002A4F03" w:rsidRDefault="00BE2AA0" w:rsidP="00A46DC0">
      <w:pPr>
        <w:pStyle w:val="ListParagraph"/>
        <w:numPr>
          <w:ilvl w:val="0"/>
          <w:numId w:val="7"/>
        </w:numPr>
        <w:spacing w:before="120"/>
        <w:contextualSpacing w:val="0"/>
        <w:jc w:val="both"/>
      </w:pPr>
      <w:r w:rsidRPr="006E0231">
        <w:rPr>
          <w:rFonts w:asciiTheme="minorHAnsi" w:hAnsiTheme="minorHAnsi" w:cstheme="minorHAnsi"/>
          <w:b/>
          <w:bCs/>
          <w:color w:val="000000" w:themeColor="text1"/>
        </w:rPr>
        <w:t xml:space="preserve">PS and OTPS Savings. </w:t>
      </w:r>
      <w:r w:rsidRPr="006E0231">
        <w:rPr>
          <w:rFonts w:asciiTheme="minorHAnsi" w:hAnsiTheme="minorHAnsi" w:cstheme="minorHAnsi"/>
          <w:color w:val="000000" w:themeColor="text1"/>
        </w:rPr>
        <w:t xml:space="preserve">DORIS will generate one-time savings of $107,000 in Fiscal 2021 due to less than anticipated spending in agency-wide PS and OTPS expenditures. </w:t>
      </w:r>
    </w:p>
    <w:p w14:paraId="6331ECF9" w14:textId="065648AA" w:rsidR="00BE2AA0" w:rsidRPr="006E0231" w:rsidRDefault="00BE2AA0" w:rsidP="006E0231">
      <w:pPr>
        <w:spacing w:before="120"/>
        <w:jc w:val="both"/>
        <w:rPr>
          <w:rFonts w:asciiTheme="minorHAnsi" w:hAnsiTheme="minorHAnsi" w:cstheme="minorBidi"/>
          <w:b/>
          <w:bCs/>
          <w:color w:val="4472C4" w:themeColor="accent1"/>
          <w:sz w:val="28"/>
          <w:szCs w:val="28"/>
          <w:shd w:val="clear" w:color="auto" w:fill="FFFFFF"/>
        </w:rPr>
      </w:pPr>
      <w:r w:rsidRPr="006E0231">
        <w:rPr>
          <w:rFonts w:asciiTheme="minorHAnsi" w:hAnsiTheme="minorHAnsi" w:cstheme="minorBidi"/>
          <w:b/>
          <w:bCs/>
          <w:color w:val="4472C4" w:themeColor="accent1"/>
          <w:sz w:val="28"/>
          <w:szCs w:val="28"/>
          <w:shd w:val="clear" w:color="auto" w:fill="FFFFFF"/>
        </w:rPr>
        <w:t>Other Governmental Operations Agencies</w:t>
      </w:r>
    </w:p>
    <w:p w14:paraId="6EB95530" w14:textId="513967B8" w:rsidR="002A4F03" w:rsidRDefault="00BE2AA0" w:rsidP="006E0231">
      <w:pPr>
        <w:jc w:val="both"/>
        <w:rPr>
          <w:rFonts w:asciiTheme="minorHAnsi" w:hAnsiTheme="minorHAnsi" w:cstheme="minorBidi"/>
          <w:color w:val="000000" w:themeColor="text1"/>
          <w:shd w:val="clear" w:color="auto" w:fill="FFFFFF"/>
        </w:rPr>
      </w:pPr>
      <w:r w:rsidRPr="006E0231">
        <w:rPr>
          <w:rFonts w:asciiTheme="minorHAnsi" w:hAnsiTheme="minorHAnsi" w:cstheme="minorBidi"/>
          <w:color w:val="000000" w:themeColor="text1"/>
          <w:shd w:val="clear" w:color="auto" w:fill="FFFFFF"/>
        </w:rPr>
        <w:t xml:space="preserve">The following section includes the budgets of the remaining Governmental Operations agencies, which include the Office of Payroll Administration (OPA), and the Office of Administrative Tax Appeals (OATA). These agencies had few budgetary changes since the Fiscal 2022 Preliminary budget, with their budgets remaining relatively unchanged. </w:t>
      </w:r>
    </w:p>
    <w:p w14:paraId="7CA08707" w14:textId="2B3790FD" w:rsidR="002A4F03" w:rsidRPr="006E0231" w:rsidRDefault="002A4F03" w:rsidP="00A46DC0">
      <w:pPr>
        <w:rPr>
          <w:rFonts w:asciiTheme="minorHAnsi" w:hAnsiTheme="minorHAnsi" w:cstheme="minorBidi"/>
          <w:color w:val="000000" w:themeColor="text1"/>
          <w:shd w:val="clear" w:color="auto" w:fill="FFFFFF"/>
        </w:rPr>
      </w:pPr>
      <w:r>
        <w:rPr>
          <w:rFonts w:asciiTheme="minorHAnsi" w:hAnsiTheme="minorHAnsi" w:cstheme="minorBidi"/>
          <w:color w:val="000000" w:themeColor="text1"/>
          <w:shd w:val="clear" w:color="auto" w:fill="FFFFFF"/>
        </w:rPr>
        <w:br w:type="page"/>
      </w:r>
    </w:p>
    <w:tbl>
      <w:tblPr>
        <w:tblW w:w="8922" w:type="dxa"/>
        <w:tblLook w:val="04A0" w:firstRow="1" w:lastRow="0" w:firstColumn="1" w:lastColumn="0" w:noHBand="0" w:noVBand="1"/>
      </w:tblPr>
      <w:tblGrid>
        <w:gridCol w:w="2110"/>
        <w:gridCol w:w="17"/>
        <w:gridCol w:w="1345"/>
        <w:gridCol w:w="14"/>
        <w:gridCol w:w="1348"/>
        <w:gridCol w:w="11"/>
        <w:gridCol w:w="1351"/>
        <w:gridCol w:w="8"/>
        <w:gridCol w:w="1359"/>
        <w:gridCol w:w="1362"/>
      </w:tblGrid>
      <w:tr w:rsidR="00BE2AA0" w:rsidRPr="006E0231" w14:paraId="1C0E2A33" w14:textId="77777777" w:rsidTr="00A46DC0">
        <w:trPr>
          <w:trHeight w:val="144"/>
        </w:trPr>
        <w:tc>
          <w:tcPr>
            <w:tcW w:w="89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E570B" w14:textId="77777777" w:rsidR="00BE2AA0" w:rsidRPr="006E0231" w:rsidRDefault="00BE2AA0" w:rsidP="006E0231">
            <w:pPr>
              <w:jc w:val="center"/>
              <w:rPr>
                <w:rFonts w:asciiTheme="minorHAnsi" w:hAnsiTheme="minorHAnsi" w:cs="Calibri"/>
                <w:b/>
                <w:bCs/>
                <w:color w:val="0070C0"/>
              </w:rPr>
            </w:pPr>
            <w:r w:rsidRPr="006E0231">
              <w:rPr>
                <w:rFonts w:asciiTheme="minorHAnsi" w:hAnsiTheme="minorHAnsi" w:cs="Calibri"/>
                <w:b/>
                <w:bCs/>
                <w:color w:val="0070C0"/>
              </w:rPr>
              <w:lastRenderedPageBreak/>
              <w:t>Office of Payroll Administration (OPA)</w:t>
            </w:r>
          </w:p>
        </w:tc>
      </w:tr>
      <w:tr w:rsidR="00BE2AA0" w:rsidRPr="006E0231" w14:paraId="4DEDE432"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759AE6" w14:textId="77777777" w:rsidR="00BE2AA0" w:rsidRPr="006E0231" w:rsidRDefault="00BE2AA0" w:rsidP="006E0231">
            <w:pPr>
              <w:jc w:val="both"/>
              <w:rPr>
                <w:rFonts w:asciiTheme="minorHAnsi" w:hAnsiTheme="minorHAnsi" w:cs="Calibri"/>
                <w:color w:val="000000"/>
              </w:rPr>
            </w:pPr>
            <w:r w:rsidRPr="006E0231">
              <w:rPr>
                <w:rFonts w:asciiTheme="minorHAnsi" w:hAnsiTheme="minorHAnsi" w:cs="Calibri"/>
                <w:color w:val="000000"/>
              </w:rPr>
              <w:t> </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48C4687C"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FY21</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31E92B59"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FY22</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5930C80D"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FY23</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3F7788F1"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FY24</w:t>
            </w:r>
          </w:p>
        </w:tc>
        <w:tc>
          <w:tcPr>
            <w:tcW w:w="1362" w:type="dxa"/>
            <w:tcBorders>
              <w:top w:val="nil"/>
              <w:left w:val="nil"/>
              <w:bottom w:val="single" w:sz="4" w:space="0" w:color="auto"/>
              <w:right w:val="single" w:sz="4" w:space="0" w:color="auto"/>
            </w:tcBorders>
            <w:shd w:val="clear" w:color="auto" w:fill="auto"/>
            <w:noWrap/>
            <w:vAlign w:val="center"/>
            <w:hideMark/>
          </w:tcPr>
          <w:p w14:paraId="67CD66CE"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FY25</w:t>
            </w:r>
          </w:p>
        </w:tc>
      </w:tr>
      <w:tr w:rsidR="00BE2AA0" w:rsidRPr="006E0231" w14:paraId="3061174B"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A583991" w14:textId="77777777" w:rsidR="00BE2AA0" w:rsidRPr="006E0231" w:rsidRDefault="00BE2AA0" w:rsidP="006E0231">
            <w:pPr>
              <w:jc w:val="both"/>
              <w:rPr>
                <w:rFonts w:asciiTheme="minorHAnsi" w:hAnsiTheme="minorHAnsi" w:cs="Calibri"/>
                <w:b/>
                <w:bCs/>
                <w:color w:val="0070C0"/>
              </w:rPr>
            </w:pPr>
            <w:r w:rsidRPr="006E0231">
              <w:rPr>
                <w:rFonts w:asciiTheme="minorHAnsi" w:hAnsiTheme="minorHAnsi" w:cs="Calibri"/>
                <w:b/>
                <w:bCs/>
                <w:color w:val="0070C0"/>
              </w:rPr>
              <w:t>FY22 Prelim</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65A53CA0" w14:textId="276A9A39"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$14,497</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0F13B4DF" w14:textId="27A8F2A0"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$15,159</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020E9453" w14:textId="571E2D7A"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$15,159</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045CE84E" w14:textId="55DCDF9E"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$15,159</w:t>
            </w:r>
          </w:p>
        </w:tc>
        <w:tc>
          <w:tcPr>
            <w:tcW w:w="1362" w:type="dxa"/>
            <w:tcBorders>
              <w:top w:val="nil"/>
              <w:left w:val="nil"/>
              <w:bottom w:val="single" w:sz="4" w:space="0" w:color="auto"/>
              <w:right w:val="single" w:sz="4" w:space="0" w:color="auto"/>
            </w:tcBorders>
            <w:shd w:val="clear" w:color="auto" w:fill="auto"/>
            <w:noWrap/>
            <w:vAlign w:val="center"/>
            <w:hideMark/>
          </w:tcPr>
          <w:p w14:paraId="7B48BBFF" w14:textId="3FB814BB"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$15,159</w:t>
            </w:r>
          </w:p>
        </w:tc>
      </w:tr>
      <w:tr w:rsidR="00BE2AA0" w:rsidRPr="006E0231" w14:paraId="58BF9871"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7C777EF" w14:textId="77777777" w:rsidR="00BE2AA0" w:rsidRPr="006E0231" w:rsidRDefault="00BE2AA0" w:rsidP="006E0231">
            <w:pPr>
              <w:jc w:val="both"/>
              <w:rPr>
                <w:rFonts w:asciiTheme="minorHAnsi" w:hAnsiTheme="minorHAnsi" w:cs="Calibri"/>
                <w:i/>
                <w:iCs/>
                <w:color w:val="000000"/>
              </w:rPr>
            </w:pPr>
            <w:r w:rsidRPr="006E0231">
              <w:rPr>
                <w:rFonts w:asciiTheme="minorHAnsi" w:hAnsiTheme="minorHAnsi" w:cs="Calibri"/>
                <w:i/>
                <w:iCs/>
                <w:color w:val="000000"/>
              </w:rPr>
              <w:t>New Needs</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5A50BD93" w14:textId="14000D26"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6685A19E" w14:textId="61051BA8"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2F9615D9" w14:textId="1C02E65B"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2BD0EB71" w14:textId="364C013C"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2" w:type="dxa"/>
            <w:tcBorders>
              <w:top w:val="nil"/>
              <w:left w:val="nil"/>
              <w:bottom w:val="single" w:sz="4" w:space="0" w:color="auto"/>
              <w:right w:val="single" w:sz="4" w:space="0" w:color="auto"/>
            </w:tcBorders>
            <w:shd w:val="clear" w:color="auto" w:fill="auto"/>
            <w:noWrap/>
            <w:vAlign w:val="center"/>
            <w:hideMark/>
          </w:tcPr>
          <w:p w14:paraId="08E51E14" w14:textId="1CD81BE9"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BE2AA0" w:rsidRPr="006E0231" w14:paraId="64436F83"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480336" w14:textId="77777777" w:rsidR="00BE2AA0" w:rsidRPr="006E0231" w:rsidRDefault="00BE2AA0" w:rsidP="006E0231">
            <w:pPr>
              <w:jc w:val="both"/>
              <w:rPr>
                <w:rFonts w:asciiTheme="minorHAnsi" w:hAnsiTheme="minorHAnsi" w:cs="Calibri"/>
                <w:i/>
                <w:iCs/>
                <w:color w:val="000000"/>
              </w:rPr>
            </w:pPr>
            <w:r w:rsidRPr="006E0231">
              <w:rPr>
                <w:rFonts w:asciiTheme="minorHAnsi" w:hAnsiTheme="minorHAnsi" w:cs="Calibri"/>
                <w:i/>
                <w:iCs/>
                <w:color w:val="000000"/>
              </w:rPr>
              <w:t>Other Adjustments</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6AB0187D" w14:textId="29B38D91"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1,913</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00A86681" w14:textId="684AB7EF"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2</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57711657" w14:textId="157F37E0"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2</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2872D948" w14:textId="4C8F3D01"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2</w:t>
            </w:r>
          </w:p>
        </w:tc>
        <w:tc>
          <w:tcPr>
            <w:tcW w:w="1362" w:type="dxa"/>
            <w:tcBorders>
              <w:top w:val="nil"/>
              <w:left w:val="nil"/>
              <w:bottom w:val="single" w:sz="4" w:space="0" w:color="auto"/>
              <w:right w:val="single" w:sz="4" w:space="0" w:color="auto"/>
            </w:tcBorders>
            <w:shd w:val="clear" w:color="auto" w:fill="auto"/>
            <w:noWrap/>
            <w:vAlign w:val="center"/>
            <w:hideMark/>
          </w:tcPr>
          <w:p w14:paraId="59065DA5" w14:textId="2E2424C8"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2</w:t>
            </w:r>
          </w:p>
        </w:tc>
      </w:tr>
      <w:tr w:rsidR="00BE2AA0" w:rsidRPr="006E0231" w14:paraId="04ADCA7C"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19D600" w14:textId="77777777" w:rsidR="00BE2AA0" w:rsidRPr="006E0231" w:rsidRDefault="00BE2AA0" w:rsidP="006E0231">
            <w:pPr>
              <w:jc w:val="both"/>
              <w:rPr>
                <w:rFonts w:asciiTheme="minorHAnsi" w:hAnsiTheme="minorHAnsi" w:cs="Calibri"/>
                <w:i/>
                <w:iCs/>
                <w:color w:val="000000"/>
              </w:rPr>
            </w:pPr>
            <w:r w:rsidRPr="006E0231">
              <w:rPr>
                <w:rFonts w:asciiTheme="minorHAnsi" w:hAnsiTheme="minorHAnsi" w:cs="Calibri"/>
                <w:i/>
                <w:iCs/>
                <w:color w:val="000000"/>
              </w:rPr>
              <w:t>Savings</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1C337693" w14:textId="3BA3E931"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7D589E32" w14:textId="77777777"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(50)</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4BB9D83A" w14:textId="1A35E328"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33A910D9" w14:textId="20582DA8"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62" w:type="dxa"/>
            <w:tcBorders>
              <w:top w:val="nil"/>
              <w:left w:val="nil"/>
              <w:bottom w:val="single" w:sz="4" w:space="0" w:color="auto"/>
              <w:right w:val="single" w:sz="4" w:space="0" w:color="auto"/>
            </w:tcBorders>
            <w:shd w:val="clear" w:color="auto" w:fill="auto"/>
            <w:noWrap/>
            <w:vAlign w:val="center"/>
            <w:hideMark/>
          </w:tcPr>
          <w:p w14:paraId="77F81E42" w14:textId="71DC3B61"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BE2AA0" w:rsidRPr="006E0231" w14:paraId="79E96906"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3D97F1" w14:textId="77777777" w:rsidR="00BE2AA0" w:rsidRPr="006E0231" w:rsidRDefault="00BE2AA0" w:rsidP="006E0231">
            <w:pPr>
              <w:jc w:val="both"/>
              <w:rPr>
                <w:rFonts w:asciiTheme="minorHAnsi" w:hAnsiTheme="minorHAnsi" w:cs="Calibri"/>
                <w:b/>
                <w:bCs/>
                <w:i/>
                <w:iCs/>
                <w:color w:val="000000"/>
              </w:rPr>
            </w:pPr>
            <w:r w:rsidRPr="006E0231">
              <w:rPr>
                <w:rFonts w:asciiTheme="minorHAnsi" w:hAnsiTheme="minorHAnsi" w:cs="Calibri"/>
                <w:b/>
                <w:bCs/>
                <w:i/>
                <w:iCs/>
                <w:color w:val="000000"/>
              </w:rPr>
              <w:t>Total Change</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47FAC86D" w14:textId="0911054A"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$1,913</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7AE7C932" w14:textId="6D04A014"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$(48)</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291E8DEF" w14:textId="2E1D834C"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$2</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1437CC97" w14:textId="44F492F2"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$2</w:t>
            </w:r>
          </w:p>
        </w:tc>
        <w:tc>
          <w:tcPr>
            <w:tcW w:w="1362" w:type="dxa"/>
            <w:tcBorders>
              <w:top w:val="nil"/>
              <w:left w:val="nil"/>
              <w:bottom w:val="single" w:sz="4" w:space="0" w:color="auto"/>
              <w:right w:val="single" w:sz="4" w:space="0" w:color="auto"/>
            </w:tcBorders>
            <w:shd w:val="clear" w:color="auto" w:fill="auto"/>
            <w:noWrap/>
            <w:vAlign w:val="center"/>
            <w:hideMark/>
          </w:tcPr>
          <w:p w14:paraId="3BB06A43" w14:textId="67091554"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$2</w:t>
            </w:r>
          </w:p>
        </w:tc>
      </w:tr>
      <w:tr w:rsidR="00BE2AA0" w:rsidRPr="006E0231" w14:paraId="6837D626" w14:textId="77777777" w:rsidTr="00A46DC0">
        <w:trPr>
          <w:trHeight w:val="144"/>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6EFF79" w14:textId="77777777" w:rsidR="00BE2AA0" w:rsidRPr="006E0231" w:rsidRDefault="00BE2AA0" w:rsidP="006E0231">
            <w:pPr>
              <w:jc w:val="both"/>
              <w:rPr>
                <w:rFonts w:asciiTheme="minorHAnsi" w:hAnsiTheme="minorHAnsi" w:cs="Calibri"/>
                <w:b/>
                <w:bCs/>
                <w:color w:val="0070C0"/>
              </w:rPr>
            </w:pPr>
            <w:r w:rsidRPr="006E0231">
              <w:rPr>
                <w:rFonts w:asciiTheme="minorHAnsi" w:hAnsiTheme="minorHAnsi" w:cs="Calibri"/>
                <w:b/>
                <w:bCs/>
                <w:color w:val="0070C0"/>
              </w:rPr>
              <w:t>FY22 Exec</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5F4B74D6" w14:textId="01F64693"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$16,410</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6CCE1234" w14:textId="36EB74F6"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$15,111</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389D3446" w14:textId="5C8E34E6"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$15,161</w:t>
            </w:r>
          </w:p>
        </w:tc>
        <w:tc>
          <w:tcPr>
            <w:tcW w:w="1362" w:type="dxa"/>
            <w:gridSpan w:val="2"/>
            <w:tcBorders>
              <w:top w:val="nil"/>
              <w:left w:val="nil"/>
              <w:bottom w:val="single" w:sz="4" w:space="0" w:color="auto"/>
              <w:right w:val="single" w:sz="4" w:space="0" w:color="auto"/>
            </w:tcBorders>
            <w:shd w:val="clear" w:color="auto" w:fill="auto"/>
            <w:noWrap/>
            <w:vAlign w:val="center"/>
            <w:hideMark/>
          </w:tcPr>
          <w:p w14:paraId="01EB441D" w14:textId="7800CDF9"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$15,161</w:t>
            </w:r>
          </w:p>
        </w:tc>
        <w:tc>
          <w:tcPr>
            <w:tcW w:w="1362" w:type="dxa"/>
            <w:tcBorders>
              <w:top w:val="nil"/>
              <w:left w:val="nil"/>
              <w:bottom w:val="single" w:sz="4" w:space="0" w:color="auto"/>
              <w:right w:val="single" w:sz="4" w:space="0" w:color="auto"/>
            </w:tcBorders>
            <w:shd w:val="clear" w:color="auto" w:fill="auto"/>
            <w:noWrap/>
            <w:vAlign w:val="center"/>
            <w:hideMark/>
          </w:tcPr>
          <w:p w14:paraId="39A0C87A" w14:textId="3472CABC"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$15,161</w:t>
            </w:r>
          </w:p>
        </w:tc>
      </w:tr>
      <w:tr w:rsidR="00BE2AA0" w:rsidRPr="006E0231" w14:paraId="021D22FD" w14:textId="77777777" w:rsidTr="00A46DC0">
        <w:trPr>
          <w:trHeight w:val="144"/>
        </w:trPr>
        <w:tc>
          <w:tcPr>
            <w:tcW w:w="892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C4CD9" w14:textId="77777777" w:rsidR="00BE2AA0" w:rsidRPr="006E0231" w:rsidRDefault="00BE2AA0" w:rsidP="006E0231">
            <w:pPr>
              <w:jc w:val="center"/>
              <w:rPr>
                <w:rFonts w:asciiTheme="minorHAnsi" w:hAnsiTheme="minorHAnsi" w:cs="Calibri"/>
                <w:b/>
                <w:bCs/>
                <w:color w:val="0070C0"/>
              </w:rPr>
            </w:pPr>
            <w:r w:rsidRPr="006E0231">
              <w:rPr>
                <w:rFonts w:asciiTheme="minorHAnsi" w:hAnsiTheme="minorHAnsi" w:cs="Calibri"/>
                <w:b/>
                <w:bCs/>
                <w:color w:val="0070C0"/>
              </w:rPr>
              <w:t>Office of Administrative Tax Appeals (OATA)</w:t>
            </w:r>
          </w:p>
        </w:tc>
      </w:tr>
      <w:tr w:rsidR="00BE2AA0" w:rsidRPr="006E0231" w14:paraId="06944096" w14:textId="77777777" w:rsidTr="00A46DC0">
        <w:trPr>
          <w:trHeight w:val="14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D3E4A8" w14:textId="77777777" w:rsidR="00BE2AA0" w:rsidRPr="006E0231" w:rsidRDefault="00BE2AA0" w:rsidP="006E0231">
            <w:pPr>
              <w:jc w:val="both"/>
              <w:rPr>
                <w:rFonts w:asciiTheme="minorHAnsi" w:hAnsiTheme="minorHAnsi" w:cs="Calibri"/>
                <w:color w:val="000000"/>
              </w:rPr>
            </w:pPr>
            <w:r w:rsidRPr="006E0231">
              <w:rPr>
                <w:rFonts w:asciiTheme="minorHAnsi" w:hAnsiTheme="minorHAnsi" w:cs="Calibri"/>
                <w:color w:val="000000"/>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05F7C2F9"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FY21</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0CFF8EF2"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FY22</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431B8E24"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FY23</w:t>
            </w:r>
          </w:p>
        </w:tc>
        <w:tc>
          <w:tcPr>
            <w:tcW w:w="1359" w:type="dxa"/>
            <w:tcBorders>
              <w:top w:val="nil"/>
              <w:left w:val="nil"/>
              <w:bottom w:val="single" w:sz="4" w:space="0" w:color="auto"/>
              <w:right w:val="single" w:sz="4" w:space="0" w:color="auto"/>
            </w:tcBorders>
            <w:shd w:val="clear" w:color="auto" w:fill="auto"/>
            <w:noWrap/>
            <w:vAlign w:val="center"/>
            <w:hideMark/>
          </w:tcPr>
          <w:p w14:paraId="1328C5B6"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FY24</w:t>
            </w:r>
          </w:p>
        </w:tc>
        <w:tc>
          <w:tcPr>
            <w:tcW w:w="1359" w:type="dxa"/>
            <w:tcBorders>
              <w:top w:val="nil"/>
              <w:left w:val="nil"/>
              <w:bottom w:val="single" w:sz="4" w:space="0" w:color="auto"/>
              <w:right w:val="single" w:sz="4" w:space="0" w:color="auto"/>
            </w:tcBorders>
            <w:shd w:val="clear" w:color="auto" w:fill="auto"/>
            <w:noWrap/>
            <w:vAlign w:val="center"/>
            <w:hideMark/>
          </w:tcPr>
          <w:p w14:paraId="1E35874C" w14:textId="77777777" w:rsidR="00BE2AA0" w:rsidRPr="006E0231" w:rsidRDefault="00BE2AA0" w:rsidP="006E0231">
            <w:pPr>
              <w:jc w:val="center"/>
              <w:rPr>
                <w:rFonts w:asciiTheme="minorHAnsi" w:hAnsiTheme="minorHAnsi" w:cs="Calibri"/>
                <w:b/>
                <w:bCs/>
                <w:color w:val="000000"/>
              </w:rPr>
            </w:pPr>
            <w:r w:rsidRPr="006E0231">
              <w:rPr>
                <w:rFonts w:asciiTheme="minorHAnsi" w:hAnsiTheme="minorHAnsi" w:cs="Calibri"/>
                <w:b/>
                <w:bCs/>
                <w:color w:val="000000"/>
              </w:rPr>
              <w:t>FY25</w:t>
            </w:r>
          </w:p>
        </w:tc>
      </w:tr>
      <w:tr w:rsidR="00BE2AA0" w:rsidRPr="006E0231" w14:paraId="3BC9D18A" w14:textId="77777777" w:rsidTr="00A46DC0">
        <w:trPr>
          <w:trHeight w:val="14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7E6308" w14:textId="77777777" w:rsidR="00BE2AA0" w:rsidRPr="006E0231" w:rsidRDefault="00BE2AA0" w:rsidP="006E0231">
            <w:pPr>
              <w:jc w:val="both"/>
              <w:rPr>
                <w:rFonts w:asciiTheme="minorHAnsi" w:hAnsiTheme="minorHAnsi" w:cs="Calibri"/>
                <w:b/>
                <w:bCs/>
                <w:color w:val="0070C0"/>
              </w:rPr>
            </w:pPr>
            <w:r w:rsidRPr="006E0231">
              <w:rPr>
                <w:rFonts w:asciiTheme="minorHAnsi" w:hAnsiTheme="minorHAnsi" w:cs="Calibri"/>
                <w:b/>
                <w:bCs/>
                <w:color w:val="0070C0"/>
              </w:rPr>
              <w:t>FY22 Prelim</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0BA9E7A7" w14:textId="628A414B"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$5,848</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1028988F" w14:textId="784584D2"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$5,971</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00716F58" w14:textId="5153AD31"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$5,971</w:t>
            </w:r>
          </w:p>
        </w:tc>
        <w:tc>
          <w:tcPr>
            <w:tcW w:w="1359" w:type="dxa"/>
            <w:tcBorders>
              <w:top w:val="nil"/>
              <w:left w:val="nil"/>
              <w:bottom w:val="single" w:sz="4" w:space="0" w:color="auto"/>
              <w:right w:val="single" w:sz="4" w:space="0" w:color="auto"/>
            </w:tcBorders>
            <w:shd w:val="clear" w:color="auto" w:fill="auto"/>
            <w:noWrap/>
            <w:vAlign w:val="center"/>
            <w:hideMark/>
          </w:tcPr>
          <w:p w14:paraId="1AC94672" w14:textId="2688D79A"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$5,971</w:t>
            </w:r>
          </w:p>
        </w:tc>
        <w:tc>
          <w:tcPr>
            <w:tcW w:w="1359" w:type="dxa"/>
            <w:tcBorders>
              <w:top w:val="nil"/>
              <w:left w:val="nil"/>
              <w:bottom w:val="single" w:sz="4" w:space="0" w:color="auto"/>
              <w:right w:val="single" w:sz="4" w:space="0" w:color="auto"/>
            </w:tcBorders>
            <w:shd w:val="clear" w:color="auto" w:fill="auto"/>
            <w:noWrap/>
            <w:vAlign w:val="center"/>
            <w:hideMark/>
          </w:tcPr>
          <w:p w14:paraId="36A0397A" w14:textId="7D837956"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$5,971</w:t>
            </w:r>
          </w:p>
        </w:tc>
      </w:tr>
      <w:tr w:rsidR="00BE2AA0" w:rsidRPr="006E0231" w14:paraId="32CCD18A" w14:textId="77777777" w:rsidTr="00A46DC0">
        <w:trPr>
          <w:trHeight w:val="14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787B44" w14:textId="77777777" w:rsidR="00BE2AA0" w:rsidRPr="006E0231" w:rsidRDefault="00BE2AA0" w:rsidP="006E0231">
            <w:pPr>
              <w:jc w:val="both"/>
              <w:rPr>
                <w:rFonts w:asciiTheme="minorHAnsi" w:hAnsiTheme="minorHAnsi" w:cs="Calibri"/>
                <w:i/>
                <w:iCs/>
                <w:color w:val="000000"/>
              </w:rPr>
            </w:pPr>
            <w:r w:rsidRPr="006E0231">
              <w:rPr>
                <w:rFonts w:asciiTheme="minorHAnsi" w:hAnsiTheme="minorHAnsi" w:cs="Calibri"/>
                <w:i/>
                <w:iCs/>
                <w:color w:val="000000"/>
              </w:rPr>
              <w:t>New Needs</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511DBB44" w14:textId="37D2C63D"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7CA5F831" w14:textId="2C0BDE83"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062F5D80" w14:textId="5E6424F3"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59" w:type="dxa"/>
            <w:tcBorders>
              <w:top w:val="nil"/>
              <w:left w:val="nil"/>
              <w:bottom w:val="single" w:sz="4" w:space="0" w:color="auto"/>
              <w:right w:val="single" w:sz="4" w:space="0" w:color="auto"/>
            </w:tcBorders>
            <w:shd w:val="clear" w:color="auto" w:fill="auto"/>
            <w:noWrap/>
            <w:vAlign w:val="center"/>
            <w:hideMark/>
          </w:tcPr>
          <w:p w14:paraId="6222A7FA" w14:textId="42EA648E"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59" w:type="dxa"/>
            <w:tcBorders>
              <w:top w:val="nil"/>
              <w:left w:val="nil"/>
              <w:bottom w:val="single" w:sz="4" w:space="0" w:color="auto"/>
              <w:right w:val="single" w:sz="4" w:space="0" w:color="auto"/>
            </w:tcBorders>
            <w:shd w:val="clear" w:color="auto" w:fill="auto"/>
            <w:noWrap/>
            <w:vAlign w:val="center"/>
            <w:hideMark/>
          </w:tcPr>
          <w:p w14:paraId="66930FAA" w14:textId="3520731A"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BE2AA0" w:rsidRPr="006E0231" w14:paraId="5C63754D" w14:textId="77777777" w:rsidTr="00A46DC0">
        <w:trPr>
          <w:trHeight w:val="14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8F5A5F" w14:textId="77777777" w:rsidR="00BE2AA0" w:rsidRPr="006E0231" w:rsidRDefault="00BE2AA0" w:rsidP="006E0231">
            <w:pPr>
              <w:jc w:val="both"/>
              <w:rPr>
                <w:rFonts w:asciiTheme="minorHAnsi" w:hAnsiTheme="minorHAnsi" w:cs="Calibri"/>
                <w:i/>
                <w:iCs/>
                <w:color w:val="000000"/>
              </w:rPr>
            </w:pPr>
            <w:r w:rsidRPr="006E0231">
              <w:rPr>
                <w:rFonts w:asciiTheme="minorHAnsi" w:hAnsiTheme="minorHAnsi" w:cs="Calibri"/>
                <w:i/>
                <w:iCs/>
                <w:color w:val="000000"/>
              </w:rPr>
              <w:t>Other Adjustments</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748AD409" w14:textId="38EC8C48"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5</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0CF56245" w14:textId="65CE65D8"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3</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3CC7B46D" w14:textId="3A25F872"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3</w:t>
            </w:r>
          </w:p>
        </w:tc>
        <w:tc>
          <w:tcPr>
            <w:tcW w:w="1359" w:type="dxa"/>
            <w:tcBorders>
              <w:top w:val="nil"/>
              <w:left w:val="nil"/>
              <w:bottom w:val="single" w:sz="4" w:space="0" w:color="auto"/>
              <w:right w:val="single" w:sz="4" w:space="0" w:color="auto"/>
            </w:tcBorders>
            <w:shd w:val="clear" w:color="auto" w:fill="auto"/>
            <w:noWrap/>
            <w:vAlign w:val="center"/>
            <w:hideMark/>
          </w:tcPr>
          <w:p w14:paraId="54619EC0" w14:textId="5DB8F33F"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3</w:t>
            </w:r>
          </w:p>
        </w:tc>
        <w:tc>
          <w:tcPr>
            <w:tcW w:w="1359" w:type="dxa"/>
            <w:tcBorders>
              <w:top w:val="nil"/>
              <w:left w:val="nil"/>
              <w:bottom w:val="single" w:sz="4" w:space="0" w:color="auto"/>
              <w:right w:val="single" w:sz="4" w:space="0" w:color="auto"/>
            </w:tcBorders>
            <w:shd w:val="clear" w:color="auto" w:fill="auto"/>
            <w:noWrap/>
            <w:vAlign w:val="center"/>
            <w:hideMark/>
          </w:tcPr>
          <w:p w14:paraId="40140DD5" w14:textId="1B589CD1"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3</w:t>
            </w:r>
          </w:p>
        </w:tc>
      </w:tr>
      <w:tr w:rsidR="00BE2AA0" w:rsidRPr="006E0231" w14:paraId="3B91F0AC" w14:textId="77777777" w:rsidTr="00A46DC0">
        <w:trPr>
          <w:trHeight w:val="14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97EB67" w14:textId="77777777" w:rsidR="00BE2AA0" w:rsidRPr="006E0231" w:rsidRDefault="00BE2AA0" w:rsidP="006E0231">
            <w:pPr>
              <w:jc w:val="both"/>
              <w:rPr>
                <w:rFonts w:asciiTheme="minorHAnsi" w:hAnsiTheme="minorHAnsi" w:cs="Calibri"/>
                <w:i/>
                <w:iCs/>
                <w:color w:val="000000"/>
              </w:rPr>
            </w:pPr>
            <w:r w:rsidRPr="006E0231">
              <w:rPr>
                <w:rFonts w:asciiTheme="minorHAnsi" w:hAnsiTheme="minorHAnsi" w:cs="Calibri"/>
                <w:i/>
                <w:iCs/>
                <w:color w:val="000000"/>
              </w:rPr>
              <w:t>Savings</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552EC5DA" w14:textId="3184CB1A"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7E692AB6" w14:textId="4E7081BB"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23988540" w14:textId="4D2DC23E"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59" w:type="dxa"/>
            <w:tcBorders>
              <w:top w:val="nil"/>
              <w:left w:val="nil"/>
              <w:bottom w:val="single" w:sz="4" w:space="0" w:color="auto"/>
              <w:right w:val="single" w:sz="4" w:space="0" w:color="auto"/>
            </w:tcBorders>
            <w:shd w:val="clear" w:color="auto" w:fill="auto"/>
            <w:noWrap/>
            <w:vAlign w:val="center"/>
            <w:hideMark/>
          </w:tcPr>
          <w:p w14:paraId="2D3CA8EA" w14:textId="6F81A028"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c>
          <w:tcPr>
            <w:tcW w:w="1359" w:type="dxa"/>
            <w:tcBorders>
              <w:top w:val="nil"/>
              <w:left w:val="nil"/>
              <w:bottom w:val="single" w:sz="4" w:space="0" w:color="auto"/>
              <w:right w:val="single" w:sz="4" w:space="0" w:color="auto"/>
            </w:tcBorders>
            <w:shd w:val="clear" w:color="auto" w:fill="auto"/>
            <w:noWrap/>
            <w:vAlign w:val="center"/>
            <w:hideMark/>
          </w:tcPr>
          <w:p w14:paraId="0B28E97C" w14:textId="5AEA245A" w:rsidR="00BE2AA0" w:rsidRPr="006E0231" w:rsidRDefault="00BE2AA0" w:rsidP="16194CFB">
            <w:pPr>
              <w:jc w:val="right"/>
              <w:rPr>
                <w:rFonts w:asciiTheme="minorHAnsi" w:hAnsiTheme="minorHAnsi" w:cs="Calibri"/>
                <w:color w:val="000000"/>
              </w:rPr>
            </w:pPr>
            <w:r w:rsidRPr="16194CFB">
              <w:rPr>
                <w:rFonts w:asciiTheme="minorHAnsi" w:hAnsiTheme="minorHAnsi" w:cs="Calibri"/>
                <w:color w:val="000000" w:themeColor="text1"/>
              </w:rPr>
              <w:t>0</w:t>
            </w:r>
          </w:p>
        </w:tc>
      </w:tr>
      <w:tr w:rsidR="00BE2AA0" w:rsidRPr="006E0231" w14:paraId="4EC7622B" w14:textId="77777777" w:rsidTr="00A46DC0">
        <w:trPr>
          <w:trHeight w:val="14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AB9EB" w14:textId="77777777" w:rsidR="00BE2AA0" w:rsidRPr="006E0231" w:rsidRDefault="00BE2AA0" w:rsidP="006E0231">
            <w:pPr>
              <w:jc w:val="both"/>
              <w:rPr>
                <w:rFonts w:asciiTheme="minorHAnsi" w:hAnsiTheme="minorHAnsi" w:cs="Calibri"/>
                <w:b/>
                <w:bCs/>
                <w:i/>
                <w:iCs/>
                <w:color w:val="000000"/>
              </w:rPr>
            </w:pPr>
            <w:r w:rsidRPr="006E0231">
              <w:rPr>
                <w:rFonts w:asciiTheme="minorHAnsi" w:hAnsiTheme="minorHAnsi" w:cs="Calibri"/>
                <w:b/>
                <w:bCs/>
                <w:i/>
                <w:iCs/>
                <w:color w:val="000000"/>
              </w:rPr>
              <w:t>Total Change</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444B587E" w14:textId="79424005"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$5</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198EB7BC" w14:textId="590CC356"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$3</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132B7899" w14:textId="1B7EE3C4"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$3</w:t>
            </w:r>
          </w:p>
        </w:tc>
        <w:tc>
          <w:tcPr>
            <w:tcW w:w="1359" w:type="dxa"/>
            <w:tcBorders>
              <w:top w:val="nil"/>
              <w:left w:val="nil"/>
              <w:bottom w:val="single" w:sz="4" w:space="0" w:color="auto"/>
              <w:right w:val="single" w:sz="4" w:space="0" w:color="auto"/>
            </w:tcBorders>
            <w:shd w:val="clear" w:color="auto" w:fill="auto"/>
            <w:noWrap/>
            <w:vAlign w:val="center"/>
            <w:hideMark/>
          </w:tcPr>
          <w:p w14:paraId="05BE3C22" w14:textId="5BD68CEA"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$3</w:t>
            </w:r>
          </w:p>
        </w:tc>
        <w:tc>
          <w:tcPr>
            <w:tcW w:w="1359" w:type="dxa"/>
            <w:tcBorders>
              <w:top w:val="nil"/>
              <w:left w:val="nil"/>
              <w:bottom w:val="single" w:sz="4" w:space="0" w:color="auto"/>
              <w:right w:val="single" w:sz="4" w:space="0" w:color="auto"/>
            </w:tcBorders>
            <w:shd w:val="clear" w:color="auto" w:fill="auto"/>
            <w:noWrap/>
            <w:vAlign w:val="center"/>
            <w:hideMark/>
          </w:tcPr>
          <w:p w14:paraId="6E15A0D1" w14:textId="0CB9C92A" w:rsidR="00BE2AA0" w:rsidRPr="006E0231" w:rsidRDefault="00BE2AA0" w:rsidP="16194CFB">
            <w:pPr>
              <w:jc w:val="right"/>
              <w:rPr>
                <w:rFonts w:asciiTheme="minorHAnsi" w:hAnsiTheme="minorHAnsi" w:cs="Calibri"/>
                <w:b/>
                <w:bCs/>
                <w:i/>
                <w:iCs/>
                <w:color w:val="000000"/>
              </w:rPr>
            </w:pPr>
            <w:r w:rsidRPr="16194CFB">
              <w:rPr>
                <w:rFonts w:asciiTheme="minorHAnsi" w:hAnsiTheme="minorHAnsi" w:cs="Calibri"/>
                <w:b/>
                <w:bCs/>
                <w:i/>
                <w:iCs/>
                <w:color w:val="000000" w:themeColor="text1"/>
              </w:rPr>
              <w:t>$3</w:t>
            </w:r>
          </w:p>
        </w:tc>
      </w:tr>
      <w:tr w:rsidR="00BE2AA0" w:rsidRPr="006E0231" w14:paraId="29B612E5" w14:textId="77777777" w:rsidTr="00A46DC0">
        <w:trPr>
          <w:trHeight w:val="144"/>
        </w:trPr>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0DE95B" w14:textId="77777777" w:rsidR="00BE2AA0" w:rsidRPr="006E0231" w:rsidRDefault="00BE2AA0" w:rsidP="006E0231">
            <w:pPr>
              <w:jc w:val="both"/>
              <w:rPr>
                <w:rFonts w:asciiTheme="minorHAnsi" w:hAnsiTheme="minorHAnsi" w:cs="Calibri"/>
                <w:b/>
                <w:bCs/>
                <w:color w:val="0070C0"/>
              </w:rPr>
            </w:pPr>
            <w:r w:rsidRPr="006E0231">
              <w:rPr>
                <w:rFonts w:asciiTheme="minorHAnsi" w:hAnsiTheme="minorHAnsi" w:cs="Calibri"/>
                <w:b/>
                <w:bCs/>
                <w:color w:val="0070C0"/>
              </w:rPr>
              <w:t>FY22 Exec</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7ABE2AD0" w14:textId="60325E8A"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$5,853</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6C7D56D6" w14:textId="48FFFF44"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$5,975</w:t>
            </w:r>
          </w:p>
        </w:tc>
        <w:tc>
          <w:tcPr>
            <w:tcW w:w="1359" w:type="dxa"/>
            <w:gridSpan w:val="2"/>
            <w:tcBorders>
              <w:top w:val="nil"/>
              <w:left w:val="nil"/>
              <w:bottom w:val="single" w:sz="4" w:space="0" w:color="auto"/>
              <w:right w:val="single" w:sz="4" w:space="0" w:color="auto"/>
            </w:tcBorders>
            <w:shd w:val="clear" w:color="auto" w:fill="auto"/>
            <w:noWrap/>
            <w:vAlign w:val="center"/>
            <w:hideMark/>
          </w:tcPr>
          <w:p w14:paraId="1F793187" w14:textId="71B122F9"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$5,975</w:t>
            </w:r>
          </w:p>
        </w:tc>
        <w:tc>
          <w:tcPr>
            <w:tcW w:w="1359" w:type="dxa"/>
            <w:tcBorders>
              <w:top w:val="nil"/>
              <w:left w:val="nil"/>
              <w:bottom w:val="single" w:sz="4" w:space="0" w:color="auto"/>
              <w:right w:val="single" w:sz="4" w:space="0" w:color="auto"/>
            </w:tcBorders>
            <w:shd w:val="clear" w:color="auto" w:fill="auto"/>
            <w:noWrap/>
            <w:vAlign w:val="center"/>
            <w:hideMark/>
          </w:tcPr>
          <w:p w14:paraId="076DBD2C" w14:textId="5A028397"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$5,975</w:t>
            </w:r>
          </w:p>
        </w:tc>
        <w:tc>
          <w:tcPr>
            <w:tcW w:w="1359" w:type="dxa"/>
            <w:tcBorders>
              <w:top w:val="nil"/>
              <w:left w:val="nil"/>
              <w:bottom w:val="single" w:sz="4" w:space="0" w:color="auto"/>
              <w:right w:val="single" w:sz="4" w:space="0" w:color="auto"/>
            </w:tcBorders>
            <w:shd w:val="clear" w:color="auto" w:fill="auto"/>
            <w:noWrap/>
            <w:vAlign w:val="center"/>
            <w:hideMark/>
          </w:tcPr>
          <w:p w14:paraId="17FEEC25" w14:textId="03741630" w:rsidR="00BE2AA0" w:rsidRPr="006E0231" w:rsidRDefault="00BE2AA0" w:rsidP="16194CFB">
            <w:pPr>
              <w:jc w:val="right"/>
              <w:rPr>
                <w:rFonts w:asciiTheme="minorHAnsi" w:hAnsiTheme="minorHAnsi" w:cs="Calibri"/>
                <w:b/>
                <w:bCs/>
                <w:color w:val="000000"/>
              </w:rPr>
            </w:pPr>
            <w:r w:rsidRPr="16194CFB">
              <w:rPr>
                <w:rFonts w:asciiTheme="minorHAnsi" w:hAnsiTheme="minorHAnsi" w:cs="Calibri"/>
                <w:b/>
                <w:bCs/>
                <w:color w:val="000000" w:themeColor="text1"/>
              </w:rPr>
              <w:t>$5,975</w:t>
            </w:r>
          </w:p>
        </w:tc>
      </w:tr>
    </w:tbl>
    <w:p w14:paraId="3AEB9CD4" w14:textId="77777777" w:rsidR="00BE2AA0" w:rsidRPr="006E0231" w:rsidRDefault="00BE2AA0" w:rsidP="006E0231">
      <w:pPr>
        <w:jc w:val="both"/>
        <w:rPr>
          <w:rFonts w:asciiTheme="minorHAnsi" w:hAnsiTheme="minorHAnsi" w:cstheme="minorBidi"/>
          <w:color w:val="000000" w:themeColor="text1"/>
          <w:shd w:val="clear" w:color="auto" w:fill="FFFFFF"/>
        </w:rPr>
      </w:pPr>
    </w:p>
    <w:p w14:paraId="13B5CFDB" w14:textId="75872C15" w:rsidR="00A94226" w:rsidRPr="006E0231" w:rsidRDefault="00A94226" w:rsidP="006E0231">
      <w:pPr>
        <w:jc w:val="both"/>
        <w:rPr>
          <w:rFonts w:asciiTheme="minorHAnsi" w:hAnsiTheme="minorHAnsi" w:cstheme="minorBidi"/>
          <w:color w:val="000000" w:themeColor="text1"/>
          <w:shd w:val="clear" w:color="auto" w:fill="FFFFFF"/>
        </w:rPr>
      </w:pPr>
      <w:r w:rsidRPr="006E0231">
        <w:rPr>
          <w:rFonts w:asciiTheme="minorHAnsi" w:hAnsiTheme="minorHAnsi" w:cstheme="minorBidi"/>
          <w:color w:val="000000" w:themeColor="text1"/>
          <w:shd w:val="clear" w:color="auto" w:fill="FFFFFF"/>
        </w:rPr>
        <w:t xml:space="preserve">The section below provides highlights of budgetary changes that occurred within these agencies. </w:t>
      </w:r>
    </w:p>
    <w:p w14:paraId="4576842C" w14:textId="662DC6E7" w:rsidR="00BE2AA0" w:rsidRPr="006E0231" w:rsidRDefault="00A94226" w:rsidP="006E0231">
      <w:pPr>
        <w:pStyle w:val="ListParagraph"/>
        <w:numPr>
          <w:ilvl w:val="0"/>
          <w:numId w:val="8"/>
        </w:numPr>
        <w:spacing w:before="120"/>
        <w:jc w:val="both"/>
        <w:rPr>
          <w:rFonts w:asciiTheme="minorHAnsi" w:hAnsiTheme="minorHAnsi" w:cstheme="minorBidi"/>
          <w:b/>
          <w:bCs/>
          <w:color w:val="000000" w:themeColor="text1"/>
          <w:shd w:val="clear" w:color="auto" w:fill="FFFFFF"/>
        </w:rPr>
      </w:pPr>
      <w:r w:rsidRPr="006E0231">
        <w:rPr>
          <w:rFonts w:asciiTheme="minorHAnsi" w:hAnsiTheme="minorHAnsi" w:cstheme="minorBidi"/>
          <w:b/>
          <w:bCs/>
          <w:color w:val="000000" w:themeColor="text1"/>
          <w:shd w:val="clear" w:color="auto" w:fill="FFFFFF"/>
        </w:rPr>
        <w:t>OPA:</w:t>
      </w:r>
      <w:r w:rsidR="00331D5F" w:rsidRPr="006E0231">
        <w:rPr>
          <w:rFonts w:asciiTheme="minorHAnsi" w:hAnsiTheme="minorHAnsi" w:cstheme="minorBidi"/>
          <w:b/>
          <w:bCs/>
          <w:color w:val="000000" w:themeColor="text1"/>
          <w:shd w:val="clear" w:color="auto" w:fill="FFFFFF"/>
        </w:rPr>
        <w:t xml:space="preserve"> </w:t>
      </w:r>
    </w:p>
    <w:p w14:paraId="05347532" w14:textId="27BA5C4E" w:rsidR="00331D5F" w:rsidRPr="006E0231" w:rsidRDefault="00331D5F" w:rsidP="00A46DC0">
      <w:pPr>
        <w:pStyle w:val="ListParagraph"/>
        <w:numPr>
          <w:ilvl w:val="1"/>
          <w:numId w:val="8"/>
        </w:numPr>
        <w:spacing w:before="120"/>
        <w:contextualSpacing w:val="0"/>
        <w:jc w:val="both"/>
        <w:rPr>
          <w:rFonts w:asciiTheme="minorHAnsi" w:hAnsiTheme="minorHAnsi" w:cstheme="minorBidi"/>
          <w:b/>
          <w:bCs/>
          <w:color w:val="000000" w:themeColor="text1"/>
          <w:shd w:val="clear" w:color="auto" w:fill="FFFFFF"/>
        </w:rPr>
      </w:pPr>
      <w:r w:rsidRPr="006E0231">
        <w:rPr>
          <w:rFonts w:asciiTheme="minorHAnsi" w:hAnsiTheme="minorHAnsi" w:cstheme="minorBidi"/>
          <w:b/>
          <w:bCs/>
          <w:color w:val="000000" w:themeColor="text1"/>
          <w:shd w:val="clear" w:color="auto" w:fill="FFFFFF"/>
        </w:rPr>
        <w:t xml:space="preserve">Collective Bargaining. </w:t>
      </w:r>
      <w:r w:rsidRPr="006E0231">
        <w:rPr>
          <w:rFonts w:asciiTheme="minorHAnsi" w:hAnsiTheme="minorHAnsi" w:cstheme="minorBidi"/>
          <w:color w:val="000000" w:themeColor="text1"/>
          <w:shd w:val="clear" w:color="auto" w:fill="FFFFFF"/>
        </w:rPr>
        <w:t xml:space="preserve">The Fiscal 2022 Executive Budget includes baselined other adjustments of $2,295 beginning in Fiscal 2021 to address collective bargaining issues at OPA with DC-37 workers. </w:t>
      </w:r>
    </w:p>
    <w:p w14:paraId="05E4D02A" w14:textId="65230586" w:rsidR="00331D5F" w:rsidRPr="006E0231" w:rsidRDefault="00331D5F" w:rsidP="00A46DC0">
      <w:pPr>
        <w:pStyle w:val="ListParagraph"/>
        <w:numPr>
          <w:ilvl w:val="1"/>
          <w:numId w:val="8"/>
        </w:numPr>
        <w:spacing w:before="120"/>
        <w:contextualSpacing w:val="0"/>
        <w:jc w:val="both"/>
        <w:rPr>
          <w:rFonts w:asciiTheme="minorHAnsi" w:hAnsiTheme="minorHAnsi" w:cstheme="minorBidi"/>
          <w:b/>
          <w:bCs/>
          <w:color w:val="000000" w:themeColor="text1"/>
          <w:shd w:val="clear" w:color="auto" w:fill="FFFFFF"/>
        </w:rPr>
      </w:pPr>
      <w:r w:rsidRPr="006E0231">
        <w:rPr>
          <w:rFonts w:asciiTheme="minorHAnsi" w:hAnsiTheme="minorHAnsi" w:cstheme="minorBidi"/>
          <w:b/>
          <w:bCs/>
          <w:color w:val="000000" w:themeColor="text1"/>
          <w:shd w:val="clear" w:color="auto" w:fill="FFFFFF"/>
        </w:rPr>
        <w:t xml:space="preserve">Coronavirus Relief Fund (CRF). </w:t>
      </w:r>
      <w:r w:rsidRPr="006E0231">
        <w:rPr>
          <w:rFonts w:asciiTheme="minorHAnsi" w:hAnsiTheme="minorHAnsi" w:cstheme="minorBidi"/>
          <w:color w:val="000000" w:themeColor="text1"/>
        </w:rPr>
        <w:t xml:space="preserve">The Fiscal 2022 Executive Budget includes $1.9 million in Fiscal 2021 for the Coronavirus Relief Fund. </w:t>
      </w:r>
      <w:r w:rsidR="002D0AD5">
        <w:rPr>
          <w:rFonts w:asciiTheme="minorHAnsi" w:hAnsiTheme="minorHAnsi" w:cstheme="minorBidi"/>
          <w:color w:val="000000" w:themeColor="text1"/>
        </w:rPr>
        <w:t xml:space="preserve">This funding </w:t>
      </w:r>
      <w:proofErr w:type="gramStart"/>
      <w:r w:rsidR="002D0AD5">
        <w:rPr>
          <w:rFonts w:asciiTheme="minorHAnsi" w:hAnsiTheme="minorHAnsi" w:cstheme="minorBidi"/>
          <w:color w:val="000000" w:themeColor="text1"/>
        </w:rPr>
        <w:t>has been allocated</w:t>
      </w:r>
      <w:proofErr w:type="gramEnd"/>
      <w:r w:rsidR="002D0AD5">
        <w:rPr>
          <w:rFonts w:asciiTheme="minorHAnsi" w:hAnsiTheme="minorHAnsi" w:cstheme="minorBidi"/>
          <w:color w:val="000000" w:themeColor="text1"/>
        </w:rPr>
        <w:t xml:space="preserve"> primarily for PS purposes, for the reimbursement of overtime expenditures incurred by the agency for workers who worked on COVID-19 related issues on top of their normal work duties, such as participating in NYC vaccine hubs, among others. </w:t>
      </w:r>
    </w:p>
    <w:p w14:paraId="3B15A06D" w14:textId="478DFC92" w:rsidR="00331D5F" w:rsidRPr="006E0231" w:rsidRDefault="00331D5F" w:rsidP="00A46DC0">
      <w:pPr>
        <w:pStyle w:val="ListParagraph"/>
        <w:numPr>
          <w:ilvl w:val="1"/>
          <w:numId w:val="8"/>
        </w:numPr>
        <w:spacing w:before="120"/>
        <w:contextualSpacing w:val="0"/>
        <w:jc w:val="both"/>
        <w:rPr>
          <w:rFonts w:asciiTheme="minorHAnsi" w:hAnsiTheme="minorHAnsi" w:cstheme="minorBidi"/>
          <w:b/>
          <w:bCs/>
          <w:color w:val="000000" w:themeColor="text1"/>
          <w:shd w:val="clear" w:color="auto" w:fill="FFFFFF"/>
        </w:rPr>
      </w:pPr>
      <w:r w:rsidRPr="006E0231">
        <w:rPr>
          <w:rFonts w:asciiTheme="minorHAnsi" w:hAnsiTheme="minorHAnsi" w:cstheme="minorBidi"/>
          <w:b/>
          <w:bCs/>
          <w:color w:val="000000" w:themeColor="text1"/>
          <w:shd w:val="clear" w:color="auto" w:fill="FFFFFF"/>
        </w:rPr>
        <w:t xml:space="preserve">Transit Benefit Program Savings. </w:t>
      </w:r>
      <w:r w:rsidRPr="006E0231">
        <w:rPr>
          <w:rFonts w:asciiTheme="minorHAnsi" w:hAnsiTheme="minorHAnsi" w:cstheme="minorBidi"/>
          <w:color w:val="000000" w:themeColor="text1"/>
          <w:shd w:val="clear" w:color="auto" w:fill="FFFFFF"/>
        </w:rPr>
        <w:t xml:space="preserve">OPA will generate one-time savings of $50,000 in Fiscal 2021 from the transit benefit program. </w:t>
      </w:r>
    </w:p>
    <w:p w14:paraId="3271799C" w14:textId="7B632F17" w:rsidR="00A94226" w:rsidRPr="00A46DC0" w:rsidRDefault="00A94226" w:rsidP="006E0231">
      <w:pPr>
        <w:pStyle w:val="ListParagraph"/>
        <w:numPr>
          <w:ilvl w:val="0"/>
          <w:numId w:val="8"/>
        </w:numPr>
        <w:spacing w:before="120"/>
        <w:jc w:val="both"/>
        <w:rPr>
          <w:rFonts w:asciiTheme="minorHAnsi" w:hAnsiTheme="minorHAnsi" w:cstheme="minorBidi"/>
          <w:b/>
          <w:bCs/>
          <w:color w:val="4472C4" w:themeColor="accent1"/>
          <w:sz w:val="28"/>
          <w:szCs w:val="28"/>
          <w:shd w:val="clear" w:color="auto" w:fill="FFFFFF"/>
        </w:rPr>
      </w:pPr>
      <w:r w:rsidRPr="006E0231">
        <w:rPr>
          <w:rFonts w:asciiTheme="minorHAnsi" w:hAnsiTheme="minorHAnsi" w:cstheme="minorBidi"/>
          <w:b/>
          <w:bCs/>
          <w:color w:val="000000" w:themeColor="text1"/>
          <w:shd w:val="clear" w:color="auto" w:fill="FFFFFF"/>
        </w:rPr>
        <w:t>OATA:</w:t>
      </w:r>
    </w:p>
    <w:p w14:paraId="27128A21" w14:textId="0630BD80" w:rsidR="00A46DC0" w:rsidRPr="006E0231" w:rsidRDefault="00A46DC0" w:rsidP="00A46DC0">
      <w:pPr>
        <w:pStyle w:val="ListParagraph"/>
        <w:numPr>
          <w:ilvl w:val="1"/>
          <w:numId w:val="8"/>
        </w:numPr>
        <w:spacing w:before="120"/>
        <w:jc w:val="both"/>
        <w:rPr>
          <w:rFonts w:asciiTheme="minorHAnsi" w:hAnsiTheme="minorHAnsi" w:cstheme="minorBidi"/>
          <w:b/>
          <w:bCs/>
          <w:color w:val="4472C4" w:themeColor="accent1"/>
          <w:sz w:val="28"/>
          <w:szCs w:val="28"/>
          <w:shd w:val="clear" w:color="auto" w:fill="FFFFFF"/>
        </w:rPr>
      </w:pPr>
      <w:r>
        <w:rPr>
          <w:rFonts w:asciiTheme="minorHAnsi" w:hAnsiTheme="minorHAnsi" w:cstheme="minorBidi"/>
          <w:b/>
          <w:bCs/>
          <w:color w:val="000000" w:themeColor="text1"/>
          <w:shd w:val="clear" w:color="auto" w:fill="FFFFFF"/>
        </w:rPr>
        <w:t xml:space="preserve">Collective Bargaining. </w:t>
      </w:r>
      <w:r>
        <w:rPr>
          <w:rFonts w:asciiTheme="minorHAnsi" w:hAnsiTheme="minorHAnsi" w:cstheme="minorBidi"/>
          <w:color w:val="000000" w:themeColor="text1"/>
          <w:shd w:val="clear" w:color="auto" w:fill="FFFFFF"/>
        </w:rPr>
        <w:t xml:space="preserve">The Fiscal 2022 Executive Budget includes baselined other adjustments of $3,266 beginning in Fiscal 2021 to address collective bargaining issues at OATA with DC-37 workers and real estate title workers. </w:t>
      </w:r>
    </w:p>
    <w:p w14:paraId="62F099B8" w14:textId="4E529E14" w:rsidR="00EB2470" w:rsidRPr="00EB2470" w:rsidRDefault="00EB2470" w:rsidP="00A46DC0">
      <w:pPr>
        <w:pStyle w:val="ListParagraph"/>
        <w:spacing w:before="120"/>
        <w:ind w:left="1440"/>
        <w:jc w:val="both"/>
        <w:rPr>
          <w:highlight w:val="yellow"/>
        </w:rPr>
      </w:pPr>
    </w:p>
    <w:sectPr w:rsidR="00EB2470" w:rsidRPr="00EB2470" w:rsidSect="00C754F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0BE1" w14:textId="77777777" w:rsidR="00C41E4D" w:rsidRDefault="00C41E4D" w:rsidP="002A415A">
      <w:r>
        <w:separator/>
      </w:r>
    </w:p>
  </w:endnote>
  <w:endnote w:type="continuationSeparator" w:id="0">
    <w:p w14:paraId="50388DA0" w14:textId="77777777" w:rsidR="00C41E4D" w:rsidRDefault="00C41E4D" w:rsidP="002A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2444422"/>
      <w:docPartObj>
        <w:docPartGallery w:val="Page Numbers (Bottom of Page)"/>
        <w:docPartUnique/>
      </w:docPartObj>
    </w:sdtPr>
    <w:sdtEndPr>
      <w:rPr>
        <w:rStyle w:val="PageNumber"/>
      </w:rPr>
    </w:sdtEndPr>
    <w:sdtContent>
      <w:p w14:paraId="4B438104" w14:textId="1ADCE3D6" w:rsidR="002A415A" w:rsidRDefault="002A415A" w:rsidP="00DA6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4B869" w14:textId="77777777" w:rsidR="002A415A" w:rsidRDefault="002A415A" w:rsidP="002A4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6FFF" w14:textId="2955B644" w:rsidR="002A415A" w:rsidRPr="008E715B" w:rsidRDefault="008E715B" w:rsidP="008E715B">
    <w:pPr>
      <w:pStyle w:val="Footer"/>
      <w:tabs>
        <w:tab w:val="clear" w:pos="4680"/>
        <w:tab w:val="clear" w:pos="9360"/>
      </w:tabs>
      <w:jc w:val="center"/>
      <w:rPr>
        <w:caps/>
        <w:noProof/>
      </w:rPr>
    </w:pPr>
    <w:r w:rsidRPr="008E715B">
      <w:rPr>
        <w:caps/>
      </w:rPr>
      <w:fldChar w:fldCharType="begin"/>
    </w:r>
    <w:r w:rsidRPr="008E715B">
      <w:rPr>
        <w:caps/>
      </w:rPr>
      <w:instrText xml:space="preserve"> PAGE   \* MERGEFORMAT </w:instrText>
    </w:r>
    <w:r w:rsidRPr="008E715B">
      <w:rPr>
        <w:caps/>
      </w:rPr>
      <w:fldChar w:fldCharType="separate"/>
    </w:r>
    <w:r w:rsidR="00F705D7">
      <w:rPr>
        <w:caps/>
        <w:noProof/>
      </w:rPr>
      <w:t>12</w:t>
    </w:r>
    <w:r w:rsidRPr="008E715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30066" w14:textId="77777777" w:rsidR="00C41E4D" w:rsidRDefault="00C41E4D" w:rsidP="002A415A">
      <w:r>
        <w:separator/>
      </w:r>
    </w:p>
  </w:footnote>
  <w:footnote w:type="continuationSeparator" w:id="0">
    <w:p w14:paraId="11BB5688" w14:textId="77777777" w:rsidR="00C41E4D" w:rsidRDefault="00C41E4D" w:rsidP="002A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44"/>
    <w:multiLevelType w:val="hybridMultilevel"/>
    <w:tmpl w:val="B792D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5A2F"/>
    <w:multiLevelType w:val="hybridMultilevel"/>
    <w:tmpl w:val="068E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D514D"/>
    <w:multiLevelType w:val="hybridMultilevel"/>
    <w:tmpl w:val="94E6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A16C0"/>
    <w:multiLevelType w:val="hybridMultilevel"/>
    <w:tmpl w:val="0B2C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C55C2"/>
    <w:multiLevelType w:val="hybridMultilevel"/>
    <w:tmpl w:val="2AEE4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80030"/>
    <w:multiLevelType w:val="hybridMultilevel"/>
    <w:tmpl w:val="9C58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10F21"/>
    <w:multiLevelType w:val="hybridMultilevel"/>
    <w:tmpl w:val="358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B2A76"/>
    <w:multiLevelType w:val="hybridMultilevel"/>
    <w:tmpl w:val="838E5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3EEC"/>
    <w:multiLevelType w:val="hybridMultilevel"/>
    <w:tmpl w:val="B9FA41DA"/>
    <w:lvl w:ilvl="0" w:tplc="CEDEC7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8152F"/>
    <w:multiLevelType w:val="hybridMultilevel"/>
    <w:tmpl w:val="AF4C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A5220"/>
    <w:multiLevelType w:val="hybridMultilevel"/>
    <w:tmpl w:val="B9CA1ACE"/>
    <w:lvl w:ilvl="0" w:tplc="CEDEC7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E8E"/>
    <w:multiLevelType w:val="hybridMultilevel"/>
    <w:tmpl w:val="5406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23897"/>
    <w:multiLevelType w:val="hybridMultilevel"/>
    <w:tmpl w:val="69F091E2"/>
    <w:lvl w:ilvl="0" w:tplc="CEDEC7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B2D76"/>
    <w:multiLevelType w:val="hybridMultilevel"/>
    <w:tmpl w:val="855239F2"/>
    <w:lvl w:ilvl="0" w:tplc="CEDEC7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A6E84"/>
    <w:multiLevelType w:val="hybridMultilevel"/>
    <w:tmpl w:val="FC363388"/>
    <w:lvl w:ilvl="0" w:tplc="CEDEC7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64B19"/>
    <w:multiLevelType w:val="hybridMultilevel"/>
    <w:tmpl w:val="82660416"/>
    <w:lvl w:ilvl="0" w:tplc="CEDEC7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B49E6"/>
    <w:multiLevelType w:val="hybridMultilevel"/>
    <w:tmpl w:val="A3E874E8"/>
    <w:lvl w:ilvl="0" w:tplc="CEDEC7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8738F"/>
    <w:multiLevelType w:val="hybridMultilevel"/>
    <w:tmpl w:val="DA3831C2"/>
    <w:lvl w:ilvl="0" w:tplc="CEDEC79C">
      <w:start w:val="1"/>
      <w:numFmt w:val="bullet"/>
      <w:lvlText w:val=""/>
      <w:lvlJc w:val="left"/>
      <w:pPr>
        <w:ind w:left="720" w:hanging="360"/>
      </w:pPr>
      <w:rPr>
        <w:rFonts w:ascii="Symbol" w:hAnsi="Symbol" w:hint="default"/>
        <w:color w:val="000000" w:themeColor="text1"/>
      </w:rPr>
    </w:lvl>
    <w:lvl w:ilvl="1" w:tplc="6330C122">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16"/>
  </w:num>
  <w:num w:numId="5">
    <w:abstractNumId w:val="8"/>
  </w:num>
  <w:num w:numId="6">
    <w:abstractNumId w:val="14"/>
  </w:num>
  <w:num w:numId="7">
    <w:abstractNumId w:val="13"/>
  </w:num>
  <w:num w:numId="8">
    <w:abstractNumId w:val="17"/>
  </w:num>
  <w:num w:numId="9">
    <w:abstractNumId w:val="11"/>
  </w:num>
  <w:num w:numId="10">
    <w:abstractNumId w:val="6"/>
  </w:num>
  <w:num w:numId="11">
    <w:abstractNumId w:val="5"/>
  </w:num>
  <w:num w:numId="12">
    <w:abstractNumId w:val="1"/>
  </w:num>
  <w:num w:numId="13">
    <w:abstractNumId w:val="9"/>
  </w:num>
  <w:num w:numId="14">
    <w:abstractNumId w:val="3"/>
  </w:num>
  <w:num w:numId="15">
    <w:abstractNumId w:val="2"/>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64"/>
    <w:rsid w:val="0000645C"/>
    <w:rsid w:val="00020E90"/>
    <w:rsid w:val="0007467A"/>
    <w:rsid w:val="00083F57"/>
    <w:rsid w:val="00090F60"/>
    <w:rsid w:val="00105793"/>
    <w:rsid w:val="0012769C"/>
    <w:rsid w:val="001A1E04"/>
    <w:rsid w:val="00273394"/>
    <w:rsid w:val="002A415A"/>
    <w:rsid w:val="002A4F03"/>
    <w:rsid w:val="002D0AD5"/>
    <w:rsid w:val="0031000B"/>
    <w:rsid w:val="00331D5F"/>
    <w:rsid w:val="003A7C82"/>
    <w:rsid w:val="003DB8D1"/>
    <w:rsid w:val="003E7337"/>
    <w:rsid w:val="00403076"/>
    <w:rsid w:val="004035CB"/>
    <w:rsid w:val="004E2D24"/>
    <w:rsid w:val="005325FD"/>
    <w:rsid w:val="00555F74"/>
    <w:rsid w:val="005B171C"/>
    <w:rsid w:val="005F5B8C"/>
    <w:rsid w:val="006202ED"/>
    <w:rsid w:val="00622605"/>
    <w:rsid w:val="006D1154"/>
    <w:rsid w:val="006E0231"/>
    <w:rsid w:val="006E1966"/>
    <w:rsid w:val="006E7483"/>
    <w:rsid w:val="0075343E"/>
    <w:rsid w:val="007A11E0"/>
    <w:rsid w:val="007F37C8"/>
    <w:rsid w:val="008377DB"/>
    <w:rsid w:val="008A6DCB"/>
    <w:rsid w:val="008B7BD9"/>
    <w:rsid w:val="008D0506"/>
    <w:rsid w:val="008E715B"/>
    <w:rsid w:val="0092214C"/>
    <w:rsid w:val="00955254"/>
    <w:rsid w:val="00982F8A"/>
    <w:rsid w:val="009B4225"/>
    <w:rsid w:val="00A16B88"/>
    <w:rsid w:val="00A23E75"/>
    <w:rsid w:val="00A46DC0"/>
    <w:rsid w:val="00A94226"/>
    <w:rsid w:val="00AB7E39"/>
    <w:rsid w:val="00B972AB"/>
    <w:rsid w:val="00BE2AA0"/>
    <w:rsid w:val="00C41E4D"/>
    <w:rsid w:val="00C461C6"/>
    <w:rsid w:val="00C521F6"/>
    <w:rsid w:val="00C754F3"/>
    <w:rsid w:val="00C77916"/>
    <w:rsid w:val="00D15172"/>
    <w:rsid w:val="00D47657"/>
    <w:rsid w:val="00D87E64"/>
    <w:rsid w:val="00E32A10"/>
    <w:rsid w:val="00E633B5"/>
    <w:rsid w:val="00E96C46"/>
    <w:rsid w:val="00EB2470"/>
    <w:rsid w:val="00EE26D6"/>
    <w:rsid w:val="00F35917"/>
    <w:rsid w:val="00F705D7"/>
    <w:rsid w:val="016C548F"/>
    <w:rsid w:val="026AD96D"/>
    <w:rsid w:val="0390B94E"/>
    <w:rsid w:val="03A8AD60"/>
    <w:rsid w:val="03DFE07E"/>
    <w:rsid w:val="085950EC"/>
    <w:rsid w:val="093484DC"/>
    <w:rsid w:val="09C9751E"/>
    <w:rsid w:val="0B27DE84"/>
    <w:rsid w:val="0DEDBDA6"/>
    <w:rsid w:val="0FF141C6"/>
    <w:rsid w:val="0FF899C6"/>
    <w:rsid w:val="120E81F6"/>
    <w:rsid w:val="12E5F259"/>
    <w:rsid w:val="12FECFAA"/>
    <w:rsid w:val="1341DE6F"/>
    <w:rsid w:val="14609597"/>
    <w:rsid w:val="156FFFC8"/>
    <w:rsid w:val="16194CFB"/>
    <w:rsid w:val="17ED392F"/>
    <w:rsid w:val="1AD7C4A1"/>
    <w:rsid w:val="1C31C541"/>
    <w:rsid w:val="1C92A73A"/>
    <w:rsid w:val="1F487DCC"/>
    <w:rsid w:val="200C7E53"/>
    <w:rsid w:val="206E4474"/>
    <w:rsid w:val="207BBD65"/>
    <w:rsid w:val="21D5EB36"/>
    <w:rsid w:val="22E2D686"/>
    <w:rsid w:val="23DD079D"/>
    <w:rsid w:val="2578D7FE"/>
    <w:rsid w:val="27064CB5"/>
    <w:rsid w:val="2A01097D"/>
    <w:rsid w:val="2AD4C00E"/>
    <w:rsid w:val="2C2BDC9A"/>
    <w:rsid w:val="2CB9E814"/>
    <w:rsid w:val="2E02A345"/>
    <w:rsid w:val="31BE9031"/>
    <w:rsid w:val="32183636"/>
    <w:rsid w:val="32BC0F5D"/>
    <w:rsid w:val="361772B5"/>
    <w:rsid w:val="36954528"/>
    <w:rsid w:val="3732B9AF"/>
    <w:rsid w:val="377B9682"/>
    <w:rsid w:val="38429D3F"/>
    <w:rsid w:val="38682975"/>
    <w:rsid w:val="39AD6214"/>
    <w:rsid w:val="3DE8A25F"/>
    <w:rsid w:val="3FAD1A24"/>
    <w:rsid w:val="42E4BAE6"/>
    <w:rsid w:val="438D1344"/>
    <w:rsid w:val="4438D464"/>
    <w:rsid w:val="448264E6"/>
    <w:rsid w:val="45E2F14D"/>
    <w:rsid w:val="470BAF0E"/>
    <w:rsid w:val="4713C626"/>
    <w:rsid w:val="4741CFBE"/>
    <w:rsid w:val="49B46BBA"/>
    <w:rsid w:val="4AADFD0A"/>
    <w:rsid w:val="4C8B9D2C"/>
    <w:rsid w:val="4E41A101"/>
    <w:rsid w:val="4E617801"/>
    <w:rsid w:val="50044264"/>
    <w:rsid w:val="50287B0F"/>
    <w:rsid w:val="50493045"/>
    <w:rsid w:val="52FA5FE4"/>
    <w:rsid w:val="5338F7A9"/>
    <w:rsid w:val="56735F68"/>
    <w:rsid w:val="57CE4FD3"/>
    <w:rsid w:val="59138684"/>
    <w:rsid w:val="59370DF6"/>
    <w:rsid w:val="5A44BACA"/>
    <w:rsid w:val="5F09A70D"/>
    <w:rsid w:val="5F8922AD"/>
    <w:rsid w:val="62B85441"/>
    <w:rsid w:val="647D6C62"/>
    <w:rsid w:val="64ACBED3"/>
    <w:rsid w:val="68737E2E"/>
    <w:rsid w:val="6897B594"/>
    <w:rsid w:val="68D83690"/>
    <w:rsid w:val="694795AC"/>
    <w:rsid w:val="6B926986"/>
    <w:rsid w:val="6BF6AEF5"/>
    <w:rsid w:val="6D29D931"/>
    <w:rsid w:val="702C67AD"/>
    <w:rsid w:val="70EF63E0"/>
    <w:rsid w:val="7115D59D"/>
    <w:rsid w:val="7156BDC4"/>
    <w:rsid w:val="715A3A98"/>
    <w:rsid w:val="71B48195"/>
    <w:rsid w:val="74E353A0"/>
    <w:rsid w:val="759D913B"/>
    <w:rsid w:val="75A57EC1"/>
    <w:rsid w:val="76782BD1"/>
    <w:rsid w:val="769CBAAD"/>
    <w:rsid w:val="77102FC0"/>
    <w:rsid w:val="77C0F19A"/>
    <w:rsid w:val="7A372023"/>
    <w:rsid w:val="7C3BED3D"/>
    <w:rsid w:val="7D869219"/>
    <w:rsid w:val="7D9040B7"/>
    <w:rsid w:val="7E77F72C"/>
    <w:rsid w:val="7E7FA749"/>
    <w:rsid w:val="7F3C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17C"/>
  <w15:chartTrackingRefBased/>
  <w15:docId w15:val="{90F6D142-E565-C74B-A175-29020DE3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7E64"/>
    <w:pPr>
      <w:spacing w:before="100" w:beforeAutospacing="1" w:after="100" w:afterAutospacing="1"/>
    </w:pPr>
  </w:style>
  <w:style w:type="character" w:customStyle="1" w:styleId="normaltextrun">
    <w:name w:val="normaltextrun"/>
    <w:basedOn w:val="DefaultParagraphFont"/>
    <w:rsid w:val="00D87E64"/>
  </w:style>
  <w:style w:type="character" w:customStyle="1" w:styleId="eop">
    <w:name w:val="eop"/>
    <w:basedOn w:val="DefaultParagraphFont"/>
    <w:rsid w:val="00D87E64"/>
  </w:style>
  <w:style w:type="paragraph" w:styleId="ListParagraph">
    <w:name w:val="List Paragraph"/>
    <w:basedOn w:val="Normal"/>
    <w:uiPriority w:val="34"/>
    <w:qFormat/>
    <w:rsid w:val="0092214C"/>
    <w:pPr>
      <w:ind w:left="720"/>
      <w:contextualSpacing/>
    </w:pPr>
  </w:style>
  <w:style w:type="paragraph" w:styleId="Footer">
    <w:name w:val="footer"/>
    <w:basedOn w:val="Normal"/>
    <w:link w:val="FooterChar"/>
    <w:uiPriority w:val="99"/>
    <w:unhideWhenUsed/>
    <w:rsid w:val="002A415A"/>
    <w:pPr>
      <w:tabs>
        <w:tab w:val="center" w:pos="4680"/>
        <w:tab w:val="right" w:pos="9360"/>
      </w:tabs>
    </w:pPr>
  </w:style>
  <w:style w:type="character" w:customStyle="1" w:styleId="FooterChar">
    <w:name w:val="Footer Char"/>
    <w:basedOn w:val="DefaultParagraphFont"/>
    <w:link w:val="Footer"/>
    <w:uiPriority w:val="99"/>
    <w:rsid w:val="002A415A"/>
    <w:rPr>
      <w:rFonts w:ascii="Times New Roman" w:eastAsia="Times New Roman" w:hAnsi="Times New Roman" w:cs="Times New Roman"/>
    </w:rPr>
  </w:style>
  <w:style w:type="character" w:styleId="PageNumber">
    <w:name w:val="page number"/>
    <w:basedOn w:val="DefaultParagraphFont"/>
    <w:uiPriority w:val="99"/>
    <w:semiHidden/>
    <w:unhideWhenUsed/>
    <w:rsid w:val="002A415A"/>
  </w:style>
  <w:style w:type="paragraph" w:styleId="NormalWeb">
    <w:name w:val="Normal (Web)"/>
    <w:basedOn w:val="Normal"/>
    <w:uiPriority w:val="99"/>
    <w:semiHidden/>
    <w:unhideWhenUsed/>
    <w:rsid w:val="007A11E0"/>
    <w:pPr>
      <w:spacing w:before="100" w:beforeAutospacing="1" w:after="100" w:afterAutospacing="1"/>
    </w:pPr>
  </w:style>
  <w:style w:type="paragraph" w:styleId="Header">
    <w:name w:val="header"/>
    <w:basedOn w:val="Normal"/>
    <w:link w:val="HeaderChar"/>
    <w:uiPriority w:val="99"/>
    <w:unhideWhenUsed/>
    <w:rsid w:val="006E0231"/>
    <w:pPr>
      <w:tabs>
        <w:tab w:val="center" w:pos="4680"/>
        <w:tab w:val="right" w:pos="9360"/>
      </w:tabs>
    </w:pPr>
  </w:style>
  <w:style w:type="character" w:customStyle="1" w:styleId="HeaderChar">
    <w:name w:val="Header Char"/>
    <w:basedOn w:val="DefaultParagraphFont"/>
    <w:link w:val="Header"/>
    <w:uiPriority w:val="99"/>
    <w:rsid w:val="006E023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645C"/>
    <w:rPr>
      <w:sz w:val="16"/>
      <w:szCs w:val="16"/>
    </w:rPr>
  </w:style>
  <w:style w:type="paragraph" w:styleId="CommentText">
    <w:name w:val="annotation text"/>
    <w:basedOn w:val="Normal"/>
    <w:link w:val="CommentTextChar"/>
    <w:uiPriority w:val="99"/>
    <w:semiHidden/>
    <w:unhideWhenUsed/>
    <w:rsid w:val="0000645C"/>
    <w:rPr>
      <w:sz w:val="20"/>
      <w:szCs w:val="20"/>
    </w:rPr>
  </w:style>
  <w:style w:type="character" w:customStyle="1" w:styleId="CommentTextChar">
    <w:name w:val="Comment Text Char"/>
    <w:basedOn w:val="DefaultParagraphFont"/>
    <w:link w:val="CommentText"/>
    <w:uiPriority w:val="99"/>
    <w:semiHidden/>
    <w:rsid w:val="000064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645C"/>
    <w:rPr>
      <w:b/>
      <w:bCs/>
    </w:rPr>
  </w:style>
  <w:style w:type="character" w:customStyle="1" w:styleId="CommentSubjectChar">
    <w:name w:val="Comment Subject Char"/>
    <w:basedOn w:val="CommentTextChar"/>
    <w:link w:val="CommentSubject"/>
    <w:uiPriority w:val="99"/>
    <w:semiHidden/>
    <w:rsid w:val="000064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6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0023">
      <w:bodyDiv w:val="1"/>
      <w:marLeft w:val="0"/>
      <w:marRight w:val="0"/>
      <w:marTop w:val="0"/>
      <w:marBottom w:val="0"/>
      <w:divBdr>
        <w:top w:val="none" w:sz="0" w:space="0" w:color="auto"/>
        <w:left w:val="none" w:sz="0" w:space="0" w:color="auto"/>
        <w:bottom w:val="none" w:sz="0" w:space="0" w:color="auto"/>
        <w:right w:val="none" w:sz="0" w:space="0" w:color="auto"/>
      </w:divBdr>
    </w:div>
    <w:div w:id="429542856">
      <w:bodyDiv w:val="1"/>
      <w:marLeft w:val="0"/>
      <w:marRight w:val="0"/>
      <w:marTop w:val="0"/>
      <w:marBottom w:val="0"/>
      <w:divBdr>
        <w:top w:val="none" w:sz="0" w:space="0" w:color="auto"/>
        <w:left w:val="none" w:sz="0" w:space="0" w:color="auto"/>
        <w:bottom w:val="none" w:sz="0" w:space="0" w:color="auto"/>
        <w:right w:val="none" w:sz="0" w:space="0" w:color="auto"/>
      </w:divBdr>
    </w:div>
    <w:div w:id="488257283">
      <w:bodyDiv w:val="1"/>
      <w:marLeft w:val="0"/>
      <w:marRight w:val="0"/>
      <w:marTop w:val="0"/>
      <w:marBottom w:val="0"/>
      <w:divBdr>
        <w:top w:val="none" w:sz="0" w:space="0" w:color="auto"/>
        <w:left w:val="none" w:sz="0" w:space="0" w:color="auto"/>
        <w:bottom w:val="none" w:sz="0" w:space="0" w:color="auto"/>
        <w:right w:val="none" w:sz="0" w:space="0" w:color="auto"/>
      </w:divBdr>
    </w:div>
    <w:div w:id="502360492">
      <w:bodyDiv w:val="1"/>
      <w:marLeft w:val="0"/>
      <w:marRight w:val="0"/>
      <w:marTop w:val="0"/>
      <w:marBottom w:val="0"/>
      <w:divBdr>
        <w:top w:val="none" w:sz="0" w:space="0" w:color="auto"/>
        <w:left w:val="none" w:sz="0" w:space="0" w:color="auto"/>
        <w:bottom w:val="none" w:sz="0" w:space="0" w:color="auto"/>
        <w:right w:val="none" w:sz="0" w:space="0" w:color="auto"/>
      </w:divBdr>
    </w:div>
    <w:div w:id="544949665">
      <w:bodyDiv w:val="1"/>
      <w:marLeft w:val="0"/>
      <w:marRight w:val="0"/>
      <w:marTop w:val="0"/>
      <w:marBottom w:val="0"/>
      <w:divBdr>
        <w:top w:val="none" w:sz="0" w:space="0" w:color="auto"/>
        <w:left w:val="none" w:sz="0" w:space="0" w:color="auto"/>
        <w:bottom w:val="none" w:sz="0" w:space="0" w:color="auto"/>
        <w:right w:val="none" w:sz="0" w:space="0" w:color="auto"/>
      </w:divBdr>
    </w:div>
    <w:div w:id="546259008">
      <w:bodyDiv w:val="1"/>
      <w:marLeft w:val="0"/>
      <w:marRight w:val="0"/>
      <w:marTop w:val="0"/>
      <w:marBottom w:val="0"/>
      <w:divBdr>
        <w:top w:val="none" w:sz="0" w:space="0" w:color="auto"/>
        <w:left w:val="none" w:sz="0" w:space="0" w:color="auto"/>
        <w:bottom w:val="none" w:sz="0" w:space="0" w:color="auto"/>
        <w:right w:val="none" w:sz="0" w:space="0" w:color="auto"/>
      </w:divBdr>
    </w:div>
    <w:div w:id="578830009">
      <w:bodyDiv w:val="1"/>
      <w:marLeft w:val="0"/>
      <w:marRight w:val="0"/>
      <w:marTop w:val="0"/>
      <w:marBottom w:val="0"/>
      <w:divBdr>
        <w:top w:val="none" w:sz="0" w:space="0" w:color="auto"/>
        <w:left w:val="none" w:sz="0" w:space="0" w:color="auto"/>
        <w:bottom w:val="none" w:sz="0" w:space="0" w:color="auto"/>
        <w:right w:val="none" w:sz="0" w:space="0" w:color="auto"/>
      </w:divBdr>
      <w:divsChild>
        <w:div w:id="999500527">
          <w:marLeft w:val="0"/>
          <w:marRight w:val="0"/>
          <w:marTop w:val="0"/>
          <w:marBottom w:val="0"/>
          <w:divBdr>
            <w:top w:val="none" w:sz="0" w:space="0" w:color="auto"/>
            <w:left w:val="none" w:sz="0" w:space="0" w:color="auto"/>
            <w:bottom w:val="none" w:sz="0" w:space="0" w:color="auto"/>
            <w:right w:val="none" w:sz="0" w:space="0" w:color="auto"/>
          </w:divBdr>
          <w:divsChild>
            <w:div w:id="790518253">
              <w:marLeft w:val="0"/>
              <w:marRight w:val="0"/>
              <w:marTop w:val="0"/>
              <w:marBottom w:val="0"/>
              <w:divBdr>
                <w:top w:val="none" w:sz="0" w:space="0" w:color="auto"/>
                <w:left w:val="none" w:sz="0" w:space="0" w:color="auto"/>
                <w:bottom w:val="none" w:sz="0" w:space="0" w:color="auto"/>
                <w:right w:val="none" w:sz="0" w:space="0" w:color="auto"/>
              </w:divBdr>
            </w:div>
            <w:div w:id="131795572">
              <w:marLeft w:val="0"/>
              <w:marRight w:val="0"/>
              <w:marTop w:val="0"/>
              <w:marBottom w:val="0"/>
              <w:divBdr>
                <w:top w:val="none" w:sz="0" w:space="0" w:color="auto"/>
                <w:left w:val="none" w:sz="0" w:space="0" w:color="auto"/>
                <w:bottom w:val="none" w:sz="0" w:space="0" w:color="auto"/>
                <w:right w:val="none" w:sz="0" w:space="0" w:color="auto"/>
              </w:divBdr>
            </w:div>
            <w:div w:id="2103603045">
              <w:marLeft w:val="0"/>
              <w:marRight w:val="0"/>
              <w:marTop w:val="0"/>
              <w:marBottom w:val="0"/>
              <w:divBdr>
                <w:top w:val="none" w:sz="0" w:space="0" w:color="auto"/>
                <w:left w:val="none" w:sz="0" w:space="0" w:color="auto"/>
                <w:bottom w:val="none" w:sz="0" w:space="0" w:color="auto"/>
                <w:right w:val="none" w:sz="0" w:space="0" w:color="auto"/>
              </w:divBdr>
            </w:div>
            <w:div w:id="386758015">
              <w:marLeft w:val="0"/>
              <w:marRight w:val="0"/>
              <w:marTop w:val="0"/>
              <w:marBottom w:val="0"/>
              <w:divBdr>
                <w:top w:val="none" w:sz="0" w:space="0" w:color="auto"/>
                <w:left w:val="none" w:sz="0" w:space="0" w:color="auto"/>
                <w:bottom w:val="none" w:sz="0" w:space="0" w:color="auto"/>
                <w:right w:val="none" w:sz="0" w:space="0" w:color="auto"/>
              </w:divBdr>
            </w:div>
            <w:div w:id="644627598">
              <w:marLeft w:val="0"/>
              <w:marRight w:val="0"/>
              <w:marTop w:val="0"/>
              <w:marBottom w:val="0"/>
              <w:divBdr>
                <w:top w:val="none" w:sz="0" w:space="0" w:color="auto"/>
                <w:left w:val="none" w:sz="0" w:space="0" w:color="auto"/>
                <w:bottom w:val="none" w:sz="0" w:space="0" w:color="auto"/>
                <w:right w:val="none" w:sz="0" w:space="0" w:color="auto"/>
              </w:divBdr>
            </w:div>
          </w:divsChild>
        </w:div>
        <w:div w:id="1978950252">
          <w:marLeft w:val="0"/>
          <w:marRight w:val="0"/>
          <w:marTop w:val="0"/>
          <w:marBottom w:val="0"/>
          <w:divBdr>
            <w:top w:val="none" w:sz="0" w:space="0" w:color="auto"/>
            <w:left w:val="none" w:sz="0" w:space="0" w:color="auto"/>
            <w:bottom w:val="none" w:sz="0" w:space="0" w:color="auto"/>
            <w:right w:val="none" w:sz="0" w:space="0" w:color="auto"/>
          </w:divBdr>
          <w:divsChild>
            <w:div w:id="830756755">
              <w:marLeft w:val="0"/>
              <w:marRight w:val="0"/>
              <w:marTop w:val="0"/>
              <w:marBottom w:val="0"/>
              <w:divBdr>
                <w:top w:val="none" w:sz="0" w:space="0" w:color="auto"/>
                <w:left w:val="none" w:sz="0" w:space="0" w:color="auto"/>
                <w:bottom w:val="none" w:sz="0" w:space="0" w:color="auto"/>
                <w:right w:val="none" w:sz="0" w:space="0" w:color="auto"/>
              </w:divBdr>
            </w:div>
            <w:div w:id="1082412756">
              <w:marLeft w:val="0"/>
              <w:marRight w:val="0"/>
              <w:marTop w:val="0"/>
              <w:marBottom w:val="0"/>
              <w:divBdr>
                <w:top w:val="none" w:sz="0" w:space="0" w:color="auto"/>
                <w:left w:val="none" w:sz="0" w:space="0" w:color="auto"/>
                <w:bottom w:val="none" w:sz="0" w:space="0" w:color="auto"/>
                <w:right w:val="none" w:sz="0" w:space="0" w:color="auto"/>
              </w:divBdr>
            </w:div>
            <w:div w:id="962274293">
              <w:marLeft w:val="0"/>
              <w:marRight w:val="0"/>
              <w:marTop w:val="0"/>
              <w:marBottom w:val="0"/>
              <w:divBdr>
                <w:top w:val="none" w:sz="0" w:space="0" w:color="auto"/>
                <w:left w:val="none" w:sz="0" w:space="0" w:color="auto"/>
                <w:bottom w:val="none" w:sz="0" w:space="0" w:color="auto"/>
                <w:right w:val="none" w:sz="0" w:space="0" w:color="auto"/>
              </w:divBdr>
            </w:div>
          </w:divsChild>
        </w:div>
        <w:div w:id="644048594">
          <w:marLeft w:val="0"/>
          <w:marRight w:val="0"/>
          <w:marTop w:val="0"/>
          <w:marBottom w:val="0"/>
          <w:divBdr>
            <w:top w:val="none" w:sz="0" w:space="0" w:color="auto"/>
            <w:left w:val="none" w:sz="0" w:space="0" w:color="auto"/>
            <w:bottom w:val="none" w:sz="0" w:space="0" w:color="auto"/>
            <w:right w:val="none" w:sz="0" w:space="0" w:color="auto"/>
          </w:divBdr>
          <w:divsChild>
            <w:div w:id="1964068920">
              <w:marLeft w:val="0"/>
              <w:marRight w:val="0"/>
              <w:marTop w:val="0"/>
              <w:marBottom w:val="0"/>
              <w:divBdr>
                <w:top w:val="none" w:sz="0" w:space="0" w:color="auto"/>
                <w:left w:val="none" w:sz="0" w:space="0" w:color="auto"/>
                <w:bottom w:val="none" w:sz="0" w:space="0" w:color="auto"/>
                <w:right w:val="none" w:sz="0" w:space="0" w:color="auto"/>
              </w:divBdr>
            </w:div>
            <w:div w:id="572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5910">
      <w:bodyDiv w:val="1"/>
      <w:marLeft w:val="0"/>
      <w:marRight w:val="0"/>
      <w:marTop w:val="0"/>
      <w:marBottom w:val="0"/>
      <w:divBdr>
        <w:top w:val="none" w:sz="0" w:space="0" w:color="auto"/>
        <w:left w:val="none" w:sz="0" w:space="0" w:color="auto"/>
        <w:bottom w:val="none" w:sz="0" w:space="0" w:color="auto"/>
        <w:right w:val="none" w:sz="0" w:space="0" w:color="auto"/>
      </w:divBdr>
    </w:div>
    <w:div w:id="893345832">
      <w:bodyDiv w:val="1"/>
      <w:marLeft w:val="0"/>
      <w:marRight w:val="0"/>
      <w:marTop w:val="0"/>
      <w:marBottom w:val="0"/>
      <w:divBdr>
        <w:top w:val="none" w:sz="0" w:space="0" w:color="auto"/>
        <w:left w:val="none" w:sz="0" w:space="0" w:color="auto"/>
        <w:bottom w:val="none" w:sz="0" w:space="0" w:color="auto"/>
        <w:right w:val="none" w:sz="0" w:space="0" w:color="auto"/>
      </w:divBdr>
    </w:div>
    <w:div w:id="942957937">
      <w:bodyDiv w:val="1"/>
      <w:marLeft w:val="0"/>
      <w:marRight w:val="0"/>
      <w:marTop w:val="0"/>
      <w:marBottom w:val="0"/>
      <w:divBdr>
        <w:top w:val="none" w:sz="0" w:space="0" w:color="auto"/>
        <w:left w:val="none" w:sz="0" w:space="0" w:color="auto"/>
        <w:bottom w:val="none" w:sz="0" w:space="0" w:color="auto"/>
        <w:right w:val="none" w:sz="0" w:space="0" w:color="auto"/>
      </w:divBdr>
    </w:div>
    <w:div w:id="1066998066">
      <w:bodyDiv w:val="1"/>
      <w:marLeft w:val="0"/>
      <w:marRight w:val="0"/>
      <w:marTop w:val="0"/>
      <w:marBottom w:val="0"/>
      <w:divBdr>
        <w:top w:val="none" w:sz="0" w:space="0" w:color="auto"/>
        <w:left w:val="none" w:sz="0" w:space="0" w:color="auto"/>
        <w:bottom w:val="none" w:sz="0" w:space="0" w:color="auto"/>
        <w:right w:val="none" w:sz="0" w:space="0" w:color="auto"/>
      </w:divBdr>
    </w:div>
    <w:div w:id="1068453109">
      <w:bodyDiv w:val="1"/>
      <w:marLeft w:val="0"/>
      <w:marRight w:val="0"/>
      <w:marTop w:val="0"/>
      <w:marBottom w:val="0"/>
      <w:divBdr>
        <w:top w:val="none" w:sz="0" w:space="0" w:color="auto"/>
        <w:left w:val="none" w:sz="0" w:space="0" w:color="auto"/>
        <w:bottom w:val="none" w:sz="0" w:space="0" w:color="auto"/>
        <w:right w:val="none" w:sz="0" w:space="0" w:color="auto"/>
      </w:divBdr>
    </w:div>
    <w:div w:id="1076318070">
      <w:bodyDiv w:val="1"/>
      <w:marLeft w:val="0"/>
      <w:marRight w:val="0"/>
      <w:marTop w:val="0"/>
      <w:marBottom w:val="0"/>
      <w:divBdr>
        <w:top w:val="none" w:sz="0" w:space="0" w:color="auto"/>
        <w:left w:val="none" w:sz="0" w:space="0" w:color="auto"/>
        <w:bottom w:val="none" w:sz="0" w:space="0" w:color="auto"/>
        <w:right w:val="none" w:sz="0" w:space="0" w:color="auto"/>
      </w:divBdr>
    </w:div>
    <w:div w:id="1306930735">
      <w:bodyDiv w:val="1"/>
      <w:marLeft w:val="0"/>
      <w:marRight w:val="0"/>
      <w:marTop w:val="0"/>
      <w:marBottom w:val="0"/>
      <w:divBdr>
        <w:top w:val="none" w:sz="0" w:space="0" w:color="auto"/>
        <w:left w:val="none" w:sz="0" w:space="0" w:color="auto"/>
        <w:bottom w:val="none" w:sz="0" w:space="0" w:color="auto"/>
        <w:right w:val="none" w:sz="0" w:space="0" w:color="auto"/>
      </w:divBdr>
    </w:div>
    <w:div w:id="1321159329">
      <w:bodyDiv w:val="1"/>
      <w:marLeft w:val="0"/>
      <w:marRight w:val="0"/>
      <w:marTop w:val="0"/>
      <w:marBottom w:val="0"/>
      <w:divBdr>
        <w:top w:val="none" w:sz="0" w:space="0" w:color="auto"/>
        <w:left w:val="none" w:sz="0" w:space="0" w:color="auto"/>
        <w:bottom w:val="none" w:sz="0" w:space="0" w:color="auto"/>
        <w:right w:val="none" w:sz="0" w:space="0" w:color="auto"/>
      </w:divBdr>
    </w:div>
    <w:div w:id="1331062740">
      <w:bodyDiv w:val="1"/>
      <w:marLeft w:val="0"/>
      <w:marRight w:val="0"/>
      <w:marTop w:val="0"/>
      <w:marBottom w:val="0"/>
      <w:divBdr>
        <w:top w:val="none" w:sz="0" w:space="0" w:color="auto"/>
        <w:left w:val="none" w:sz="0" w:space="0" w:color="auto"/>
        <w:bottom w:val="none" w:sz="0" w:space="0" w:color="auto"/>
        <w:right w:val="none" w:sz="0" w:space="0" w:color="auto"/>
      </w:divBdr>
    </w:div>
    <w:div w:id="1339845858">
      <w:bodyDiv w:val="1"/>
      <w:marLeft w:val="0"/>
      <w:marRight w:val="0"/>
      <w:marTop w:val="0"/>
      <w:marBottom w:val="0"/>
      <w:divBdr>
        <w:top w:val="none" w:sz="0" w:space="0" w:color="auto"/>
        <w:left w:val="none" w:sz="0" w:space="0" w:color="auto"/>
        <w:bottom w:val="none" w:sz="0" w:space="0" w:color="auto"/>
        <w:right w:val="none" w:sz="0" w:space="0" w:color="auto"/>
      </w:divBdr>
    </w:div>
    <w:div w:id="1463232470">
      <w:bodyDiv w:val="1"/>
      <w:marLeft w:val="0"/>
      <w:marRight w:val="0"/>
      <w:marTop w:val="0"/>
      <w:marBottom w:val="0"/>
      <w:divBdr>
        <w:top w:val="none" w:sz="0" w:space="0" w:color="auto"/>
        <w:left w:val="none" w:sz="0" w:space="0" w:color="auto"/>
        <w:bottom w:val="none" w:sz="0" w:space="0" w:color="auto"/>
        <w:right w:val="none" w:sz="0" w:space="0" w:color="auto"/>
      </w:divBdr>
    </w:div>
    <w:div w:id="1676347171">
      <w:bodyDiv w:val="1"/>
      <w:marLeft w:val="0"/>
      <w:marRight w:val="0"/>
      <w:marTop w:val="0"/>
      <w:marBottom w:val="0"/>
      <w:divBdr>
        <w:top w:val="none" w:sz="0" w:space="0" w:color="auto"/>
        <w:left w:val="none" w:sz="0" w:space="0" w:color="auto"/>
        <w:bottom w:val="none" w:sz="0" w:space="0" w:color="auto"/>
        <w:right w:val="none" w:sz="0" w:space="0" w:color="auto"/>
      </w:divBdr>
    </w:div>
    <w:div w:id="1743093493">
      <w:bodyDiv w:val="1"/>
      <w:marLeft w:val="0"/>
      <w:marRight w:val="0"/>
      <w:marTop w:val="0"/>
      <w:marBottom w:val="0"/>
      <w:divBdr>
        <w:top w:val="none" w:sz="0" w:space="0" w:color="auto"/>
        <w:left w:val="none" w:sz="0" w:space="0" w:color="auto"/>
        <w:bottom w:val="none" w:sz="0" w:space="0" w:color="auto"/>
        <w:right w:val="none" w:sz="0" w:space="0" w:color="auto"/>
      </w:divBdr>
    </w:div>
    <w:div w:id="1908759634">
      <w:bodyDiv w:val="1"/>
      <w:marLeft w:val="0"/>
      <w:marRight w:val="0"/>
      <w:marTop w:val="0"/>
      <w:marBottom w:val="0"/>
      <w:divBdr>
        <w:top w:val="none" w:sz="0" w:space="0" w:color="auto"/>
        <w:left w:val="none" w:sz="0" w:space="0" w:color="auto"/>
        <w:bottom w:val="none" w:sz="0" w:space="0" w:color="auto"/>
        <w:right w:val="none" w:sz="0" w:space="0" w:color="auto"/>
      </w:divBdr>
    </w:div>
    <w:div w:id="19496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ebastianbacchi\Desktop\Variance%20Exec%2021%20vs%20Prelim%2021%20FY21-25%20All%20funds%20excld%20IF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ebastianbacchi\Desktop\Variance%20Exec%2021%20vs%20Prelim%2021%20FY21-25%20All%20funds%20excld%20IF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DCAS FY21 Appropriations &amp; FY22-25</a:t>
            </a:r>
            <a:r>
              <a:rPr lang="en-US" b="1" baseline="0"/>
              <a:t> Capital Budget</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'Important Charts'!$A$43</c:f>
              <c:strCache>
                <c:ptCount val="1"/>
                <c:pt idx="0">
                  <c:v>Citywide Resiliency</c:v>
                </c:pt>
              </c:strCache>
            </c:strRef>
          </c:tx>
          <c:spPr>
            <a:solidFill>
              <a:schemeClr val="accent1"/>
            </a:solidFill>
            <a:ln>
              <a:noFill/>
            </a:ln>
            <a:effectLst/>
          </c:spPr>
          <c:invertIfNegative val="0"/>
          <c:cat>
            <c:strRef>
              <c:f>'Important Charts'!$B$42:$F$42</c:f>
              <c:strCache>
                <c:ptCount val="5"/>
                <c:pt idx="0">
                  <c:v>FY21</c:v>
                </c:pt>
                <c:pt idx="1">
                  <c:v>FY22</c:v>
                </c:pt>
                <c:pt idx="2">
                  <c:v>FY23</c:v>
                </c:pt>
                <c:pt idx="3">
                  <c:v>FY24</c:v>
                </c:pt>
                <c:pt idx="4">
                  <c:v>FY25</c:v>
                </c:pt>
              </c:strCache>
            </c:strRef>
          </c:cat>
          <c:val>
            <c:numRef>
              <c:f>'Important Charts'!$B$43:$F$43</c:f>
              <c:numCache>
                <c:formatCode>_("$"* #,##0_);_("$"* \(#,##0\);_("$"* "-"??_);_(@_)</c:formatCode>
                <c:ptCount val="5"/>
                <c:pt idx="0">
                  <c:v>926727</c:v>
                </c:pt>
                <c:pt idx="1">
                  <c:v>1069902</c:v>
                </c:pt>
                <c:pt idx="2">
                  <c:v>549128</c:v>
                </c:pt>
                <c:pt idx="3">
                  <c:v>172937</c:v>
                </c:pt>
                <c:pt idx="4">
                  <c:v>179444</c:v>
                </c:pt>
              </c:numCache>
            </c:numRef>
          </c:val>
          <c:extLst>
            <c:ext xmlns:c16="http://schemas.microsoft.com/office/drawing/2014/chart" uri="{C3380CC4-5D6E-409C-BE32-E72D297353CC}">
              <c16:uniqueId val="{00000000-CC72-504F-A6F9-0E8CFAF6B8D6}"/>
            </c:ext>
          </c:extLst>
        </c:ser>
        <c:ser>
          <c:idx val="1"/>
          <c:order val="1"/>
          <c:tx>
            <c:strRef>
              <c:f>'Important Charts'!$A$44</c:f>
              <c:strCache>
                <c:ptCount val="1"/>
                <c:pt idx="0">
                  <c:v>Real Property</c:v>
                </c:pt>
              </c:strCache>
            </c:strRef>
          </c:tx>
          <c:spPr>
            <a:solidFill>
              <a:schemeClr val="accent2"/>
            </a:solidFill>
            <a:ln>
              <a:noFill/>
            </a:ln>
            <a:effectLst/>
          </c:spPr>
          <c:invertIfNegative val="0"/>
          <c:cat>
            <c:strRef>
              <c:f>'Important Charts'!$B$42:$F$42</c:f>
              <c:strCache>
                <c:ptCount val="5"/>
                <c:pt idx="0">
                  <c:v>FY21</c:v>
                </c:pt>
                <c:pt idx="1">
                  <c:v>FY22</c:v>
                </c:pt>
                <c:pt idx="2">
                  <c:v>FY23</c:v>
                </c:pt>
                <c:pt idx="3">
                  <c:v>FY24</c:v>
                </c:pt>
                <c:pt idx="4">
                  <c:v>FY25</c:v>
                </c:pt>
              </c:strCache>
            </c:strRef>
          </c:cat>
          <c:val>
            <c:numRef>
              <c:f>'Important Charts'!$B$44:$F$44</c:f>
              <c:numCache>
                <c:formatCode>_("$"* #,##0_);_("$"* \(#,##0\);_("$"* "-"??_);_(@_)</c:formatCode>
                <c:ptCount val="5"/>
                <c:pt idx="0">
                  <c:v>13294</c:v>
                </c:pt>
                <c:pt idx="1">
                  <c:v>82</c:v>
                </c:pt>
                <c:pt idx="2">
                  <c:v>9200</c:v>
                </c:pt>
                <c:pt idx="3">
                  <c:v>787</c:v>
                </c:pt>
                <c:pt idx="4">
                  <c:v>250</c:v>
                </c:pt>
              </c:numCache>
            </c:numRef>
          </c:val>
          <c:extLst>
            <c:ext xmlns:c16="http://schemas.microsoft.com/office/drawing/2014/chart" uri="{C3380CC4-5D6E-409C-BE32-E72D297353CC}">
              <c16:uniqueId val="{00000001-CC72-504F-A6F9-0E8CFAF6B8D6}"/>
            </c:ext>
          </c:extLst>
        </c:ser>
        <c:ser>
          <c:idx val="2"/>
          <c:order val="2"/>
          <c:tx>
            <c:strRef>
              <c:f>'Important Charts'!$A$45</c:f>
              <c:strCache>
                <c:ptCount val="1"/>
                <c:pt idx="0">
                  <c:v>Energy Efficiency</c:v>
                </c:pt>
              </c:strCache>
            </c:strRef>
          </c:tx>
          <c:spPr>
            <a:solidFill>
              <a:schemeClr val="accent3"/>
            </a:solidFill>
            <a:ln>
              <a:noFill/>
            </a:ln>
            <a:effectLst/>
          </c:spPr>
          <c:invertIfNegative val="0"/>
          <c:cat>
            <c:strRef>
              <c:f>'Important Charts'!$B$42:$F$42</c:f>
              <c:strCache>
                <c:ptCount val="5"/>
                <c:pt idx="0">
                  <c:v>FY21</c:v>
                </c:pt>
                <c:pt idx="1">
                  <c:v>FY22</c:v>
                </c:pt>
                <c:pt idx="2">
                  <c:v>FY23</c:v>
                </c:pt>
                <c:pt idx="3">
                  <c:v>FY24</c:v>
                </c:pt>
                <c:pt idx="4">
                  <c:v>FY25</c:v>
                </c:pt>
              </c:strCache>
            </c:strRef>
          </c:cat>
          <c:val>
            <c:numRef>
              <c:f>'Important Charts'!$B$45:$F$45</c:f>
              <c:numCache>
                <c:formatCode>_("$"* #,##0_);_("$"* \(#,##0\);_("$"* "-"??_);_(@_)</c:formatCode>
                <c:ptCount val="5"/>
                <c:pt idx="0">
                  <c:v>290293</c:v>
                </c:pt>
                <c:pt idx="1">
                  <c:v>222974</c:v>
                </c:pt>
                <c:pt idx="2">
                  <c:v>175454</c:v>
                </c:pt>
                <c:pt idx="3">
                  <c:v>268453</c:v>
                </c:pt>
                <c:pt idx="4">
                  <c:v>460423</c:v>
                </c:pt>
              </c:numCache>
            </c:numRef>
          </c:val>
          <c:extLst>
            <c:ext xmlns:c16="http://schemas.microsoft.com/office/drawing/2014/chart" uri="{C3380CC4-5D6E-409C-BE32-E72D297353CC}">
              <c16:uniqueId val="{00000002-CC72-504F-A6F9-0E8CFAF6B8D6}"/>
            </c:ext>
          </c:extLst>
        </c:ser>
        <c:ser>
          <c:idx val="3"/>
          <c:order val="3"/>
          <c:tx>
            <c:strRef>
              <c:f>'Important Charts'!$A$46</c:f>
              <c:strCache>
                <c:ptCount val="1"/>
                <c:pt idx="0">
                  <c:v>Public Buildings</c:v>
                </c:pt>
              </c:strCache>
            </c:strRef>
          </c:tx>
          <c:spPr>
            <a:solidFill>
              <a:schemeClr val="accent4"/>
            </a:solidFill>
            <a:ln>
              <a:noFill/>
            </a:ln>
            <a:effectLst/>
          </c:spPr>
          <c:invertIfNegative val="0"/>
          <c:cat>
            <c:strRef>
              <c:f>'Important Charts'!$B$42:$F$42</c:f>
              <c:strCache>
                <c:ptCount val="5"/>
                <c:pt idx="0">
                  <c:v>FY21</c:v>
                </c:pt>
                <c:pt idx="1">
                  <c:v>FY22</c:v>
                </c:pt>
                <c:pt idx="2">
                  <c:v>FY23</c:v>
                </c:pt>
                <c:pt idx="3">
                  <c:v>FY24</c:v>
                </c:pt>
                <c:pt idx="4">
                  <c:v>FY25</c:v>
                </c:pt>
              </c:strCache>
            </c:strRef>
          </c:cat>
          <c:val>
            <c:numRef>
              <c:f>'Important Charts'!$B$46:$F$46</c:f>
              <c:numCache>
                <c:formatCode>_("$"* #,##0_);_("$"* \(#,##0\);_("$"* "-"??_);_(@_)</c:formatCode>
                <c:ptCount val="5"/>
                <c:pt idx="0">
                  <c:v>890736</c:v>
                </c:pt>
                <c:pt idx="1">
                  <c:v>389719</c:v>
                </c:pt>
                <c:pt idx="2">
                  <c:v>114573</c:v>
                </c:pt>
                <c:pt idx="3">
                  <c:v>312288</c:v>
                </c:pt>
                <c:pt idx="4">
                  <c:v>296097</c:v>
                </c:pt>
              </c:numCache>
            </c:numRef>
          </c:val>
          <c:extLst>
            <c:ext xmlns:c16="http://schemas.microsoft.com/office/drawing/2014/chart" uri="{C3380CC4-5D6E-409C-BE32-E72D297353CC}">
              <c16:uniqueId val="{00000003-CC72-504F-A6F9-0E8CFAF6B8D6}"/>
            </c:ext>
          </c:extLst>
        </c:ser>
        <c:dLbls>
          <c:showLegendKey val="0"/>
          <c:showVal val="0"/>
          <c:showCatName val="0"/>
          <c:showSerName val="0"/>
          <c:showPercent val="0"/>
          <c:showBubbleSize val="0"/>
        </c:dLbls>
        <c:gapWidth val="150"/>
        <c:overlap val="100"/>
        <c:axId val="1547451119"/>
        <c:axId val="1551229935"/>
      </c:barChart>
      <c:lineChart>
        <c:grouping val="standard"/>
        <c:varyColors val="0"/>
        <c:ser>
          <c:idx val="4"/>
          <c:order val="4"/>
          <c:tx>
            <c:strRef>
              <c:f>'Important Charts'!$A$47</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'Important Charts'!$B$42:$F$42</c:f>
              <c:strCache>
                <c:ptCount val="5"/>
                <c:pt idx="0">
                  <c:v>FY21</c:v>
                </c:pt>
                <c:pt idx="1">
                  <c:v>FY22</c:v>
                </c:pt>
                <c:pt idx="2">
                  <c:v>FY23</c:v>
                </c:pt>
                <c:pt idx="3">
                  <c:v>FY24</c:v>
                </c:pt>
                <c:pt idx="4">
                  <c:v>FY25</c:v>
                </c:pt>
              </c:strCache>
            </c:strRef>
          </c:cat>
          <c:val>
            <c:numRef>
              <c:f>'Important Charts'!$B$47:$F$47</c:f>
              <c:numCache>
                <c:formatCode>_("$"* #,##0_);_("$"* \(#,##0\);_("$"* "-"??_);_(@_)</c:formatCode>
                <c:ptCount val="5"/>
                <c:pt idx="0">
                  <c:v>2121050</c:v>
                </c:pt>
                <c:pt idx="1">
                  <c:v>1682677</c:v>
                </c:pt>
                <c:pt idx="2">
                  <c:v>848355</c:v>
                </c:pt>
                <c:pt idx="3">
                  <c:v>754465</c:v>
                </c:pt>
                <c:pt idx="4">
                  <c:v>936214</c:v>
                </c:pt>
              </c:numCache>
            </c:numRef>
          </c:val>
          <c:smooth val="0"/>
          <c:extLst>
            <c:ext xmlns:c16="http://schemas.microsoft.com/office/drawing/2014/chart" uri="{C3380CC4-5D6E-409C-BE32-E72D297353CC}">
              <c16:uniqueId val="{00000004-CC72-504F-A6F9-0E8CFAF6B8D6}"/>
            </c:ext>
          </c:extLst>
        </c:ser>
        <c:dLbls>
          <c:showLegendKey val="0"/>
          <c:showVal val="0"/>
          <c:showCatName val="0"/>
          <c:showSerName val="0"/>
          <c:showPercent val="0"/>
          <c:showBubbleSize val="0"/>
        </c:dLbls>
        <c:marker val="1"/>
        <c:smooth val="0"/>
        <c:axId val="1097000543"/>
        <c:axId val="1105239695"/>
      </c:lineChart>
      <c:catAx>
        <c:axId val="154745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1229935"/>
        <c:crosses val="autoZero"/>
        <c:auto val="1"/>
        <c:lblAlgn val="ctr"/>
        <c:lblOffset val="100"/>
        <c:noMultiLvlLbl val="0"/>
      </c:catAx>
      <c:valAx>
        <c:axId val="1551229935"/>
        <c:scaling>
          <c:orientation val="minMax"/>
        </c:scaling>
        <c:delete val="1"/>
        <c:axPos val="l"/>
        <c:title>
          <c:tx>
            <c:rich>
              <a:bodyPr rot="-540000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r>
                  <a:rPr lang="en-US" b="1" i="1"/>
                  <a:t>Dollars in Thousands</a:t>
                </a:r>
              </a:p>
            </c:rich>
          </c:tx>
          <c:layout/>
          <c:overlay val="0"/>
          <c:spPr>
            <a:noFill/>
            <a:ln>
              <a:noFill/>
            </a:ln>
            <a:effectLst/>
          </c:spPr>
          <c:txPr>
            <a:bodyPr rot="-540000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crossAx val="1547451119"/>
        <c:crosses val="autoZero"/>
        <c:crossBetween val="between"/>
      </c:valAx>
      <c:valAx>
        <c:axId val="1105239695"/>
        <c:scaling>
          <c:orientation val="minMax"/>
        </c:scaling>
        <c:delete val="1"/>
        <c:axPos val="r"/>
        <c:numFmt formatCode="_(&quot;$&quot;* #,##0_);_(&quot;$&quot;* \(#,##0\);_(&quot;$&quot;* &quot;-&quot;??_);_(@_)" sourceLinked="1"/>
        <c:majorTickMark val="out"/>
        <c:minorTickMark val="none"/>
        <c:tickLblPos val="nextTo"/>
        <c:crossAx val="1097000543"/>
        <c:crosses val="max"/>
        <c:crossBetween val="between"/>
      </c:valAx>
      <c:catAx>
        <c:axId val="1097000543"/>
        <c:scaling>
          <c:orientation val="minMax"/>
        </c:scaling>
        <c:delete val="1"/>
        <c:axPos val="b"/>
        <c:numFmt formatCode="General" sourceLinked="1"/>
        <c:majorTickMark val="out"/>
        <c:minorTickMark val="none"/>
        <c:tickLblPos val="nextTo"/>
        <c:crossAx val="1105239695"/>
        <c:crosses val="autoZero"/>
        <c:auto val="1"/>
        <c:lblAlgn val="ctr"/>
        <c:lblOffset val="100"/>
        <c:noMultiLvlLbl val="0"/>
      </c:catAx>
      <c:spPr>
        <a:noFill/>
        <a:ln>
          <a:noFill/>
        </a:ln>
        <a:effectLst/>
      </c:spPr>
    </c:plotArea>
    <c:legend>
      <c:legendPos val="b"/>
      <c:legendEntry>
        <c:idx val="4"/>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DCAS Fiscal</a:t>
            </a:r>
            <a:r>
              <a:rPr lang="en-US" b="1" baseline="0"/>
              <a:t> 2021 - 2025 Commitment Plan</a:t>
            </a:r>
          </a:p>
          <a:p>
            <a:pPr>
              <a:defRPr b="1"/>
            </a:pPr>
            <a:r>
              <a:rPr lang="en-US" sz="1000" b="1" i="1" baseline="0"/>
              <a:t>Dollars in Thousands</a:t>
            </a:r>
            <a:endParaRPr lang="en-US" sz="1000" b="1" i="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'Important Charts'!$A$36</c:f>
              <c:strCache>
                <c:ptCount val="1"/>
                <c:pt idx="0">
                  <c:v>Exec </c:v>
                </c:pt>
              </c:strCache>
            </c:strRef>
          </c:tx>
          <c:spPr>
            <a:solidFill>
              <a:schemeClr val="accent1"/>
            </a:solidFill>
            <a:ln>
              <a:noFill/>
            </a:ln>
            <a:effectLst/>
          </c:spPr>
          <c:invertIfNegative val="0"/>
          <c:cat>
            <c:strRef>
              <c:f>'Important Charts'!$B$35:$G$35</c:f>
              <c:strCache>
                <c:ptCount val="6"/>
                <c:pt idx="0">
                  <c:v>FY21</c:v>
                </c:pt>
                <c:pt idx="1">
                  <c:v>FY22</c:v>
                </c:pt>
                <c:pt idx="2">
                  <c:v>FY23</c:v>
                </c:pt>
                <c:pt idx="3">
                  <c:v>FY24</c:v>
                </c:pt>
                <c:pt idx="4">
                  <c:v>FY25</c:v>
                </c:pt>
                <c:pt idx="5">
                  <c:v>Total</c:v>
                </c:pt>
              </c:strCache>
            </c:strRef>
          </c:cat>
          <c:val>
            <c:numRef>
              <c:f>'Important Charts'!$B$36:$G$36</c:f>
              <c:numCache>
                <c:formatCode>_("$"* #,##0_);_("$"* \(#,##0\);_("$"* "-"??_);_(@_)</c:formatCode>
                <c:ptCount val="6"/>
                <c:pt idx="0">
                  <c:v>637144</c:v>
                </c:pt>
                <c:pt idx="1">
                  <c:v>1803988</c:v>
                </c:pt>
                <c:pt idx="2">
                  <c:v>884387</c:v>
                </c:pt>
                <c:pt idx="3">
                  <c:v>877782</c:v>
                </c:pt>
                <c:pt idx="4">
                  <c:v>1069758</c:v>
                </c:pt>
                <c:pt idx="5">
                  <c:v>5273059</c:v>
                </c:pt>
              </c:numCache>
            </c:numRef>
          </c:val>
          <c:extLst>
            <c:ext xmlns:c16="http://schemas.microsoft.com/office/drawing/2014/chart" uri="{C3380CC4-5D6E-409C-BE32-E72D297353CC}">
              <c16:uniqueId val="{00000000-0F77-9B4A-B4D3-90F8793B1E2F}"/>
            </c:ext>
          </c:extLst>
        </c:ser>
        <c:ser>
          <c:idx val="1"/>
          <c:order val="1"/>
          <c:tx>
            <c:strRef>
              <c:f>'Important Charts'!$A$37</c:f>
              <c:strCache>
                <c:ptCount val="1"/>
                <c:pt idx="0">
                  <c:v>Prelim</c:v>
                </c:pt>
              </c:strCache>
            </c:strRef>
          </c:tx>
          <c:spPr>
            <a:solidFill>
              <a:schemeClr val="accent2"/>
            </a:solidFill>
            <a:ln>
              <a:noFill/>
            </a:ln>
            <a:effectLst/>
          </c:spPr>
          <c:invertIfNegative val="0"/>
          <c:cat>
            <c:strRef>
              <c:f>'Important Charts'!$B$35:$G$35</c:f>
              <c:strCache>
                <c:ptCount val="6"/>
                <c:pt idx="0">
                  <c:v>FY21</c:v>
                </c:pt>
                <c:pt idx="1">
                  <c:v>FY22</c:v>
                </c:pt>
                <c:pt idx="2">
                  <c:v>FY23</c:v>
                </c:pt>
                <c:pt idx="3">
                  <c:v>FY24</c:v>
                </c:pt>
                <c:pt idx="4">
                  <c:v>FY25</c:v>
                </c:pt>
                <c:pt idx="5">
                  <c:v>Total</c:v>
                </c:pt>
              </c:strCache>
            </c:strRef>
          </c:cat>
          <c:val>
            <c:numRef>
              <c:f>'Important Charts'!$B$37:$G$37</c:f>
              <c:numCache>
                <c:formatCode>_("$"* #,##0_);_("$"* \(#,##0\);_("$"* "-"??_);_(@_)</c:formatCode>
                <c:ptCount val="6"/>
                <c:pt idx="0">
                  <c:v>812110</c:v>
                </c:pt>
                <c:pt idx="1">
                  <c:v>1193452</c:v>
                </c:pt>
                <c:pt idx="2">
                  <c:v>889030</c:v>
                </c:pt>
                <c:pt idx="3">
                  <c:v>1110402</c:v>
                </c:pt>
                <c:pt idx="4">
                  <c:v>915602</c:v>
                </c:pt>
                <c:pt idx="5">
                  <c:v>4920596</c:v>
                </c:pt>
              </c:numCache>
            </c:numRef>
          </c:val>
          <c:extLst>
            <c:ext xmlns:c16="http://schemas.microsoft.com/office/drawing/2014/chart" uri="{C3380CC4-5D6E-409C-BE32-E72D297353CC}">
              <c16:uniqueId val="{00000001-0F77-9B4A-B4D3-90F8793B1E2F}"/>
            </c:ext>
          </c:extLst>
        </c:ser>
        <c:ser>
          <c:idx val="2"/>
          <c:order val="2"/>
          <c:tx>
            <c:strRef>
              <c:f>'Important Charts'!$A$38</c:f>
              <c:strCache>
                <c:ptCount val="1"/>
                <c:pt idx="0">
                  <c:v>% Change</c:v>
                </c:pt>
              </c:strCache>
            </c:strRef>
          </c:tx>
          <c:spPr>
            <a:solidFill>
              <a:schemeClr val="accent3"/>
            </a:solidFill>
            <a:ln>
              <a:noFill/>
            </a:ln>
            <a:effectLst/>
          </c:spPr>
          <c:invertIfNegative val="0"/>
          <c:cat>
            <c:strRef>
              <c:f>'Important Charts'!$B$35:$G$35</c:f>
              <c:strCache>
                <c:ptCount val="6"/>
                <c:pt idx="0">
                  <c:v>FY21</c:v>
                </c:pt>
                <c:pt idx="1">
                  <c:v>FY22</c:v>
                </c:pt>
                <c:pt idx="2">
                  <c:v>FY23</c:v>
                </c:pt>
                <c:pt idx="3">
                  <c:v>FY24</c:v>
                </c:pt>
                <c:pt idx="4">
                  <c:v>FY25</c:v>
                </c:pt>
                <c:pt idx="5">
                  <c:v>Total</c:v>
                </c:pt>
              </c:strCache>
            </c:strRef>
          </c:cat>
          <c:val>
            <c:numRef>
              <c:f>'Important Charts'!$B$38:$G$38</c:f>
              <c:numCache>
                <c:formatCode>0.0%_);\(0.0%\)</c:formatCode>
                <c:ptCount val="6"/>
                <c:pt idx="0">
                  <c:v>-0.21544618339880064</c:v>
                </c:pt>
                <c:pt idx="1">
                  <c:v>0.51157147501533362</c:v>
                </c:pt>
                <c:pt idx="2">
                  <c:v>-5.2225459208350674E-3</c:v>
                </c:pt>
                <c:pt idx="3">
                  <c:v>-0.20949169760140923</c:v>
                </c:pt>
                <c:pt idx="4">
                  <c:v>0.16836573096170607</c:v>
                </c:pt>
                <c:pt idx="5">
                  <c:v>7.1630143990687303E-2</c:v>
                </c:pt>
              </c:numCache>
            </c:numRef>
          </c:val>
          <c:extLst>
            <c:ext xmlns:c16="http://schemas.microsoft.com/office/drawing/2014/chart" uri="{C3380CC4-5D6E-409C-BE32-E72D297353CC}">
              <c16:uniqueId val="{00000002-0F77-9B4A-B4D3-90F8793B1E2F}"/>
            </c:ext>
          </c:extLst>
        </c:ser>
        <c:dLbls>
          <c:showLegendKey val="0"/>
          <c:showVal val="0"/>
          <c:showCatName val="0"/>
          <c:showSerName val="0"/>
          <c:showPercent val="0"/>
          <c:showBubbleSize val="0"/>
        </c:dLbls>
        <c:gapWidth val="219"/>
        <c:overlap val="-27"/>
        <c:axId val="152525184"/>
        <c:axId val="152540576"/>
      </c:barChart>
      <c:catAx>
        <c:axId val="15252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540576"/>
        <c:crosses val="autoZero"/>
        <c:auto val="1"/>
        <c:lblAlgn val="ctr"/>
        <c:lblOffset val="100"/>
        <c:noMultiLvlLbl val="0"/>
      </c:catAx>
      <c:valAx>
        <c:axId val="152540576"/>
        <c:scaling>
          <c:orientation val="minMax"/>
          <c:max val="5500000"/>
          <c:min val="0"/>
        </c:scaling>
        <c:delete val="1"/>
        <c:axPos val="l"/>
        <c:numFmt formatCode="_(&quot;$&quot;* #,##0_);_(&quot;$&quot;* \(#,##0\);_(&quot;$&quot;* &quot;-&quot;??_);_(@_)" sourceLinked="1"/>
        <c:majorTickMark val="none"/>
        <c:minorTickMark val="none"/>
        <c:tickLblPos val="nextTo"/>
        <c:crossAx val="152525184"/>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Palacio Bacchi</dc:creator>
  <cp:keywords/>
  <dc:description/>
  <cp:lastModifiedBy>Maria Pagan</cp:lastModifiedBy>
  <cp:revision>4</cp:revision>
  <dcterms:created xsi:type="dcterms:W3CDTF">2021-05-26T13:41:00Z</dcterms:created>
  <dcterms:modified xsi:type="dcterms:W3CDTF">2021-05-26T15:20:00Z</dcterms:modified>
</cp:coreProperties>
</file>