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drawings/drawing4.xml" ContentType="application/vnd.openxmlformats-officedocument.drawingml.chartshapes+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13280" w14:textId="7F01FA8A" w:rsidR="00F65059" w:rsidRDefault="00F65059" w:rsidP="003F21B8"/>
    <w:p w14:paraId="357CCFDE" w14:textId="09F56D02" w:rsidR="00C8381F" w:rsidRDefault="00C8381F" w:rsidP="003F21B8">
      <w:r w:rsidRPr="00C8381F">
        <w:rPr>
          <w:noProof/>
          <w:sz w:val="22"/>
        </w:rPr>
        <mc:AlternateContent>
          <mc:Choice Requires="wps">
            <w:drawing>
              <wp:anchor distT="0" distB="0" distL="114300" distR="114300" simplePos="0" relativeHeight="251661312" behindDoc="0" locked="0" layoutInCell="1" allowOverlap="1" wp14:anchorId="4F49D178" wp14:editId="2763965B">
                <wp:simplePos x="0" y="0"/>
                <wp:positionH relativeFrom="margin">
                  <wp:align>center</wp:align>
                </wp:positionH>
                <wp:positionV relativeFrom="paragraph">
                  <wp:posOffset>155575</wp:posOffset>
                </wp:positionV>
                <wp:extent cx="6858000" cy="1964690"/>
                <wp:effectExtent l="0" t="0" r="0" b="0"/>
                <wp:wrapNone/>
                <wp:docPr id="10" name="Rectangle 3"/>
                <wp:cNvGraphicFramePr/>
                <a:graphic xmlns:a="http://schemas.openxmlformats.org/drawingml/2006/main">
                  <a:graphicData uri="http://schemas.microsoft.com/office/word/2010/wordprocessingShape">
                    <wps:wsp>
                      <wps:cNvSpPr/>
                      <wps:spPr>
                        <a:xfrm>
                          <a:off x="0" y="0"/>
                          <a:ext cx="6858000" cy="1964690"/>
                        </a:xfrm>
                        <a:prstGeom prst="rect">
                          <a:avLst/>
                        </a:prstGeom>
                      </wps:spPr>
                      <wps:txbx>
                        <w:txbxContent>
                          <w:p w14:paraId="2D632892" w14:textId="77777777" w:rsidR="00C8381F" w:rsidRPr="004D3BC4" w:rsidRDefault="00C8381F" w:rsidP="00C8381F">
                            <w:pPr>
                              <w:pStyle w:val="NormalWeb"/>
                              <w:spacing w:before="0" w:beforeAutospacing="0" w:after="120" w:afterAutospacing="0"/>
                              <w:jc w:val="center"/>
                              <w:rPr>
                                <w:rFonts w:asciiTheme="minorHAnsi" w:hAnsiTheme="minorHAnsi"/>
                                <w:sz w:val="44"/>
                                <w:szCs w:val="52"/>
                              </w:rPr>
                            </w:pPr>
                            <w:r w:rsidRPr="004D3BC4">
                              <w:rPr>
                                <w:rFonts w:asciiTheme="minorHAnsi" w:hAnsiTheme="minorHAnsi" w:cstheme="minorBidi"/>
                                <w:b/>
                                <w:bCs/>
                                <w:smallCaps/>
                                <w:color w:val="000000" w:themeColor="text1"/>
                                <w:kern w:val="24"/>
                                <w:sz w:val="44"/>
                                <w:szCs w:val="52"/>
                              </w:rPr>
                              <w:t>The Council of the City of New York</w:t>
                            </w:r>
                          </w:p>
                          <w:p w14:paraId="50182701"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p>
                          <w:p w14:paraId="499D3385"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r w:rsidRPr="004D3BC4">
                              <w:rPr>
                                <w:rFonts w:asciiTheme="minorHAnsi" w:hAnsiTheme="minorHAnsi" w:cstheme="minorBidi"/>
                                <w:color w:val="000000" w:themeColor="text1"/>
                                <w:kern w:val="24"/>
                                <w:sz w:val="28"/>
                                <w:szCs w:val="28"/>
                              </w:rPr>
                              <w:t>Hon. Corey Johnson</w:t>
                            </w:r>
                          </w:p>
                          <w:p w14:paraId="2ECE4D35"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r w:rsidRPr="004D3BC4">
                              <w:rPr>
                                <w:rFonts w:asciiTheme="minorHAnsi" w:hAnsiTheme="minorHAnsi" w:cstheme="minorBidi"/>
                                <w:color w:val="000000" w:themeColor="text1"/>
                                <w:kern w:val="24"/>
                                <w:sz w:val="28"/>
                                <w:szCs w:val="28"/>
                              </w:rPr>
                              <w:t>Speaker of the Council</w:t>
                            </w:r>
                          </w:p>
                          <w:p w14:paraId="3B74C691"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p>
                          <w:p w14:paraId="09F27A20" w14:textId="77777777" w:rsidR="00C8381F" w:rsidRPr="004D3BC4" w:rsidRDefault="00C8381F" w:rsidP="00C8381F">
                            <w:pPr>
                              <w:pStyle w:val="NormalWeb"/>
                              <w:spacing w:before="0" w:beforeAutospacing="0" w:after="0" w:afterAutospacing="0"/>
                              <w:jc w:val="center"/>
                              <w:rPr>
                                <w:rFonts w:asciiTheme="minorHAnsi" w:hAnsiTheme="minorHAnsi" w:cstheme="minorBidi"/>
                                <w:color w:val="000000" w:themeColor="text1"/>
                                <w:kern w:val="24"/>
                                <w:sz w:val="28"/>
                                <w:szCs w:val="28"/>
                              </w:rPr>
                            </w:pPr>
                            <w:r w:rsidRPr="004D3BC4">
                              <w:rPr>
                                <w:rFonts w:asciiTheme="minorHAnsi" w:hAnsiTheme="minorHAnsi" w:cstheme="minorBidi"/>
                                <w:color w:val="000000" w:themeColor="text1"/>
                                <w:kern w:val="24"/>
                                <w:sz w:val="28"/>
                                <w:szCs w:val="28"/>
                              </w:rPr>
                              <w:t>Hon. Daniel Dromm</w:t>
                            </w:r>
                          </w:p>
                          <w:p w14:paraId="3643E21C" w14:textId="77777777" w:rsidR="00C8381F" w:rsidRPr="004D3BC4" w:rsidRDefault="00C8381F" w:rsidP="00C8381F">
                            <w:pPr>
                              <w:pStyle w:val="NormalWeb"/>
                              <w:spacing w:before="0" w:beforeAutospacing="0" w:after="0" w:afterAutospacing="0"/>
                              <w:jc w:val="center"/>
                              <w:rPr>
                                <w:rFonts w:asciiTheme="minorHAnsi" w:hAnsiTheme="minorHAnsi" w:cstheme="minorBidi"/>
                                <w:color w:val="000000" w:themeColor="text1"/>
                                <w:kern w:val="24"/>
                                <w:sz w:val="28"/>
                                <w:szCs w:val="28"/>
                              </w:rPr>
                            </w:pPr>
                            <w:r w:rsidRPr="004D3BC4">
                              <w:rPr>
                                <w:rFonts w:asciiTheme="minorHAnsi" w:hAnsiTheme="minorHAnsi" w:cstheme="minorBidi"/>
                                <w:color w:val="000000" w:themeColor="text1"/>
                                <w:kern w:val="24"/>
                                <w:sz w:val="28"/>
                                <w:szCs w:val="28"/>
                              </w:rPr>
                              <w:t xml:space="preserve">Chair, Committee on Finance </w:t>
                            </w:r>
                          </w:p>
                        </w:txbxContent>
                      </wps:txbx>
                      <wps:bodyPr wrap="square">
                        <a:spAutoFit/>
                      </wps:bodyPr>
                    </wps:wsp>
                  </a:graphicData>
                </a:graphic>
              </wp:anchor>
            </w:drawing>
          </mc:Choice>
          <mc:Fallback>
            <w:pict>
              <v:rect w14:anchorId="4F49D178" id="Rectangle 3" o:spid="_x0000_s1026" style="position:absolute;left:0;text-align:left;margin-left:0;margin-top:12.25pt;width:540pt;height:154.7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" filled="f" stroked="f">
                <v:textbox style="mso-fit-shape-to-text:t">
                  <w:txbxContent>
                    <w:p w14:paraId="2D632892" w14:textId="77777777" w:rsidR="00C8381F" w:rsidRPr="004D3BC4" w:rsidRDefault="00C8381F" w:rsidP="00C8381F">
                      <w:pPr>
                        <w:pStyle w:val="NormalWeb"/>
                        <w:spacing w:before="0" w:beforeAutospacing="0" w:after="120" w:afterAutospacing="0"/>
                        <w:jc w:val="center"/>
                        <w:rPr>
                          <w:rFonts w:asciiTheme="minorHAnsi" w:hAnsiTheme="minorHAnsi"/>
                          <w:sz w:val="44"/>
                          <w:szCs w:val="52"/>
                        </w:rPr>
                      </w:pPr>
                      <w:r w:rsidRPr="004D3BC4">
                        <w:rPr>
                          <w:rFonts w:asciiTheme="minorHAnsi" w:hAnsiTheme="minorHAnsi" w:cstheme="minorBidi"/>
                          <w:b/>
                          <w:bCs/>
                          <w:smallCaps/>
                          <w:color w:val="000000" w:themeColor="text1"/>
                          <w:kern w:val="24"/>
                          <w:sz w:val="44"/>
                          <w:szCs w:val="52"/>
                        </w:rPr>
                        <w:t>The Council of the City of New York</w:t>
                      </w:r>
                    </w:p>
                    <w:p w14:paraId="50182701"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p>
                    <w:p w14:paraId="499D3385"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r w:rsidRPr="004D3BC4">
                        <w:rPr>
                          <w:rFonts w:asciiTheme="minorHAnsi" w:hAnsiTheme="minorHAnsi" w:cstheme="minorBidi"/>
                          <w:color w:val="000000" w:themeColor="text1"/>
                          <w:kern w:val="24"/>
                          <w:sz w:val="28"/>
                          <w:szCs w:val="28"/>
                        </w:rPr>
                        <w:t>Hon. Corey Johnson</w:t>
                      </w:r>
                    </w:p>
                    <w:p w14:paraId="2ECE4D35"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r w:rsidRPr="004D3BC4">
                        <w:rPr>
                          <w:rFonts w:asciiTheme="minorHAnsi" w:hAnsiTheme="minorHAnsi" w:cstheme="minorBidi"/>
                          <w:color w:val="000000" w:themeColor="text1"/>
                          <w:kern w:val="24"/>
                          <w:sz w:val="28"/>
                          <w:szCs w:val="28"/>
                        </w:rPr>
                        <w:t>Speaker of the Council</w:t>
                      </w:r>
                    </w:p>
                    <w:p w14:paraId="3B74C691" w14:textId="77777777" w:rsidR="00C8381F" w:rsidRPr="004D3BC4" w:rsidRDefault="00C8381F" w:rsidP="00C8381F">
                      <w:pPr>
                        <w:pStyle w:val="NormalWeb"/>
                        <w:spacing w:before="0" w:beforeAutospacing="0" w:after="0" w:afterAutospacing="0"/>
                        <w:jc w:val="center"/>
                        <w:rPr>
                          <w:rFonts w:asciiTheme="minorHAnsi" w:hAnsiTheme="minorHAnsi"/>
                          <w:sz w:val="28"/>
                          <w:szCs w:val="28"/>
                        </w:rPr>
                      </w:pPr>
                    </w:p>
                    <w:p w14:paraId="09F27A20" w14:textId="77777777" w:rsidR="00C8381F" w:rsidRPr="004D3BC4" w:rsidRDefault="00C8381F" w:rsidP="00C8381F">
                      <w:pPr>
                        <w:pStyle w:val="NormalWeb"/>
                        <w:spacing w:before="0" w:beforeAutospacing="0" w:after="0" w:afterAutospacing="0"/>
                        <w:jc w:val="center"/>
                        <w:rPr>
                          <w:rFonts w:asciiTheme="minorHAnsi" w:hAnsiTheme="minorHAnsi" w:cstheme="minorBidi"/>
                          <w:color w:val="000000" w:themeColor="text1"/>
                          <w:kern w:val="24"/>
                          <w:sz w:val="28"/>
                          <w:szCs w:val="28"/>
                        </w:rPr>
                      </w:pPr>
                      <w:r w:rsidRPr="004D3BC4">
                        <w:rPr>
                          <w:rFonts w:asciiTheme="minorHAnsi" w:hAnsiTheme="minorHAnsi" w:cstheme="minorBidi"/>
                          <w:color w:val="000000" w:themeColor="text1"/>
                          <w:kern w:val="24"/>
                          <w:sz w:val="28"/>
                          <w:szCs w:val="28"/>
                        </w:rPr>
                        <w:t>Hon. Daniel Dromm</w:t>
                      </w:r>
                    </w:p>
                    <w:p w14:paraId="3643E21C" w14:textId="77777777" w:rsidR="00C8381F" w:rsidRPr="004D3BC4" w:rsidRDefault="00C8381F" w:rsidP="00C8381F">
                      <w:pPr>
                        <w:pStyle w:val="NormalWeb"/>
                        <w:spacing w:before="0" w:beforeAutospacing="0" w:after="0" w:afterAutospacing="0"/>
                        <w:jc w:val="center"/>
                        <w:rPr>
                          <w:rFonts w:asciiTheme="minorHAnsi" w:hAnsiTheme="minorHAnsi" w:cstheme="minorBidi"/>
                          <w:color w:val="000000" w:themeColor="text1"/>
                          <w:kern w:val="24"/>
                          <w:sz w:val="28"/>
                          <w:szCs w:val="28"/>
                        </w:rPr>
                      </w:pPr>
                      <w:r w:rsidRPr="004D3BC4">
                        <w:rPr>
                          <w:rFonts w:asciiTheme="minorHAnsi" w:hAnsiTheme="minorHAnsi" w:cstheme="minorBidi"/>
                          <w:color w:val="000000" w:themeColor="text1"/>
                          <w:kern w:val="24"/>
                          <w:sz w:val="28"/>
                          <w:szCs w:val="28"/>
                        </w:rPr>
                        <w:t xml:space="preserve">Chair, Committee on Finance </w:t>
                      </w:r>
                    </w:p>
                  </w:txbxContent>
                </v:textbox>
                <w10:wrap anchorx="margin"/>
              </v:rect>
            </w:pict>
          </mc:Fallback>
        </mc:AlternateContent>
      </w:r>
    </w:p>
    <w:p w14:paraId="5BD5B7F3" w14:textId="77777777" w:rsidR="00C06A79" w:rsidRDefault="00C06A79" w:rsidP="003F21B8"/>
    <w:p w14:paraId="35CE0F84" w14:textId="37CA8313" w:rsidR="003F21B8" w:rsidRDefault="003F21B8" w:rsidP="003F21B8"/>
    <w:p w14:paraId="3D361398" w14:textId="2BEBBB6A" w:rsidR="003F21B8" w:rsidRDefault="00C8381F" w:rsidP="003F21B8">
      <w:r w:rsidRPr="000057DB">
        <w:rPr>
          <w:noProof/>
        </w:rPr>
        <w:drawing>
          <wp:anchor distT="0" distB="0" distL="114300" distR="114300" simplePos="0" relativeHeight="251663360" behindDoc="0" locked="0" layoutInCell="1" allowOverlap="1" wp14:anchorId="0CB6973E" wp14:editId="0D81A7C1">
            <wp:simplePos x="0" y="0"/>
            <wp:positionH relativeFrom="margin">
              <wp:align>center</wp:align>
            </wp:positionH>
            <wp:positionV relativeFrom="paragraph">
              <wp:posOffset>1870498</wp:posOffset>
            </wp:positionV>
            <wp:extent cx="2438400" cy="2162175"/>
            <wp:effectExtent l="0" t="0" r="0" b="9525"/>
            <wp:wrapNone/>
            <wp:docPr id="11" name="Picture 11" descr="_Pic1"/>
            <wp:cNvGraphicFramePr/>
            <a:graphic xmlns:a="http://schemas.openxmlformats.org/drawingml/2006/main">
              <a:graphicData uri="http://schemas.openxmlformats.org/drawingml/2006/picture">
                <pic:pic xmlns:pic="http://schemas.openxmlformats.org/drawingml/2006/picture">
                  <pic:nvPicPr>
                    <pic:cNvPr id="3" name="Picture 3" descr="_Pic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A837C" w14:textId="2E30BCAF" w:rsidR="003F21B8" w:rsidRDefault="00C8381F" w:rsidP="003F21B8">
      <w:pPr>
        <w:sectPr w:rsidR="003F21B8" w:rsidSect="003F21B8">
          <w:pgSz w:w="12240" w:h="15840"/>
          <w:pgMar w:top="864" w:right="1440" w:bottom="1440" w:left="1440" w:header="720" w:footer="720" w:gutter="0"/>
          <w:pgNumType w:fmt="lowerRoman" w:start="1"/>
          <w:cols w:space="720"/>
          <w:docGrid w:linePitch="360"/>
        </w:sectPr>
      </w:pPr>
      <w:r w:rsidRPr="00C8381F">
        <w:rPr>
          <w:noProof/>
          <w:sz w:val="22"/>
        </w:rPr>
        <mc:AlternateContent>
          <mc:Choice Requires="wps">
            <w:drawing>
              <wp:anchor distT="0" distB="0" distL="114300" distR="114300" simplePos="0" relativeHeight="251665408" behindDoc="0" locked="0" layoutInCell="1" allowOverlap="1" wp14:anchorId="1EC35227" wp14:editId="6555DC33">
                <wp:simplePos x="0" y="0"/>
                <wp:positionH relativeFrom="margin">
                  <wp:posOffset>-482600</wp:posOffset>
                </wp:positionH>
                <wp:positionV relativeFrom="paragraph">
                  <wp:posOffset>4392718</wp:posOffset>
                </wp:positionV>
                <wp:extent cx="6911340" cy="2565400"/>
                <wp:effectExtent l="0" t="0" r="0" b="0"/>
                <wp:wrapNone/>
                <wp:docPr id="12" name="Rectangle 7"/>
                <wp:cNvGraphicFramePr/>
                <a:graphic xmlns:a="http://schemas.openxmlformats.org/drawingml/2006/main">
                  <a:graphicData uri="http://schemas.microsoft.com/office/word/2010/wordprocessingShape">
                    <wps:wsp>
                      <wps:cNvSpPr/>
                      <wps:spPr>
                        <a:xfrm>
                          <a:off x="0" y="0"/>
                          <a:ext cx="6911340" cy="2565400"/>
                        </a:xfrm>
                        <a:prstGeom prst="rect">
                          <a:avLst/>
                        </a:prstGeom>
                      </wps:spPr>
                      <wps:txbx>
                        <w:txbxContent>
                          <w:p w14:paraId="2C10FEC8" w14:textId="77777777" w:rsidR="00C8381F" w:rsidRPr="00034021" w:rsidRDefault="00C8381F" w:rsidP="00C8381F">
                            <w:pPr>
                              <w:spacing w:after="0"/>
                              <w:jc w:val="center"/>
                              <w:rPr>
                                <w:rFonts w:eastAsiaTheme="minorEastAsia"/>
                                <w:bCs/>
                                <w:color w:val="000000" w:themeColor="text1"/>
                                <w:kern w:val="24"/>
                                <w:sz w:val="28"/>
                                <w:szCs w:val="28"/>
                              </w:rPr>
                            </w:pPr>
                            <w:r w:rsidRPr="00034021">
                              <w:rPr>
                                <w:rFonts w:eastAsiaTheme="minorEastAsia"/>
                                <w:bCs/>
                                <w:color w:val="000000" w:themeColor="text1"/>
                                <w:kern w:val="24"/>
                                <w:sz w:val="28"/>
                                <w:szCs w:val="28"/>
                              </w:rPr>
                              <w:t>Report to the Committee on Finance</w:t>
                            </w:r>
                          </w:p>
                          <w:p w14:paraId="230AF932" w14:textId="77777777" w:rsidR="00C8381F" w:rsidRPr="00034021" w:rsidRDefault="00C8381F" w:rsidP="00C8381F">
                            <w:pPr>
                              <w:spacing w:after="0"/>
                              <w:jc w:val="center"/>
                              <w:rPr>
                                <w:rFonts w:eastAsiaTheme="minorEastAsia"/>
                                <w:bCs/>
                                <w:color w:val="000000" w:themeColor="text1"/>
                                <w:kern w:val="24"/>
                                <w:sz w:val="28"/>
                                <w:szCs w:val="28"/>
                              </w:rPr>
                            </w:pPr>
                          </w:p>
                          <w:p w14:paraId="210F72CB" w14:textId="77777777" w:rsidR="00C8381F" w:rsidRPr="002176F5" w:rsidRDefault="00C8381F" w:rsidP="00C8381F">
                            <w:pPr>
                              <w:spacing w:after="0"/>
                              <w:jc w:val="center"/>
                              <w:rPr>
                                <w:b/>
                                <w:sz w:val="28"/>
                                <w:szCs w:val="28"/>
                              </w:rPr>
                            </w:pPr>
                            <w:r w:rsidRPr="002176F5">
                              <w:rPr>
                                <w:b/>
                                <w:sz w:val="28"/>
                                <w:szCs w:val="28"/>
                              </w:rPr>
                              <w:t xml:space="preserve">Economic and Revenue Forecast for the </w:t>
                            </w:r>
                          </w:p>
                          <w:p w14:paraId="68B392CF" w14:textId="77777777" w:rsidR="00C8381F" w:rsidRPr="002176F5" w:rsidRDefault="00C8381F" w:rsidP="00C8381F">
                            <w:pPr>
                              <w:spacing w:after="0"/>
                              <w:jc w:val="center"/>
                              <w:rPr>
                                <w:b/>
                                <w:sz w:val="28"/>
                                <w:szCs w:val="28"/>
                              </w:rPr>
                            </w:pPr>
                            <w:r w:rsidRPr="002176F5">
                              <w:rPr>
                                <w:b/>
                                <w:sz w:val="28"/>
                                <w:szCs w:val="28"/>
                              </w:rPr>
                              <w:t>Fiscal 2019 Preliminary Budget</w:t>
                            </w:r>
                          </w:p>
                          <w:p w14:paraId="7706BFD0" w14:textId="4F71D632" w:rsidR="00C8381F" w:rsidRPr="00B50674" w:rsidRDefault="00C8381F" w:rsidP="00C8381F">
                            <w:pPr>
                              <w:spacing w:after="0"/>
                              <w:jc w:val="center"/>
                              <w:rPr>
                                <w:rFonts w:eastAsiaTheme="minorEastAsia"/>
                                <w:b/>
                                <w:bCs/>
                                <w:color w:val="000000" w:themeColor="text1"/>
                                <w:kern w:val="24"/>
                                <w:sz w:val="28"/>
                                <w:szCs w:val="28"/>
                              </w:rPr>
                            </w:pPr>
                          </w:p>
                          <w:p w14:paraId="77DB730D" w14:textId="77777777" w:rsidR="00C8381F" w:rsidRDefault="00C8381F" w:rsidP="00C8381F">
                            <w:pPr>
                              <w:spacing w:before="120" w:after="0"/>
                              <w:jc w:val="center"/>
                              <w:rPr>
                                <w:rFonts w:eastAsiaTheme="minorEastAsia"/>
                                <w:bCs/>
                                <w:color w:val="000000" w:themeColor="text1"/>
                                <w:kern w:val="24"/>
                                <w:sz w:val="28"/>
                                <w:szCs w:val="28"/>
                              </w:rPr>
                            </w:pPr>
                            <w:r w:rsidRPr="00034021">
                              <w:rPr>
                                <w:rFonts w:eastAsiaTheme="minorEastAsia"/>
                                <w:bCs/>
                                <w:color w:val="000000" w:themeColor="text1"/>
                                <w:kern w:val="24"/>
                                <w:sz w:val="28"/>
                                <w:szCs w:val="28"/>
                              </w:rPr>
                              <w:t>March 5, 2018</w:t>
                            </w:r>
                          </w:p>
                          <w:p w14:paraId="38D9A0AD" w14:textId="77777777" w:rsidR="00C8381F" w:rsidRDefault="00C8381F" w:rsidP="00C8381F">
                            <w:pPr>
                              <w:spacing w:before="120" w:after="0"/>
                              <w:jc w:val="center"/>
                              <w:rPr>
                                <w:rFonts w:eastAsiaTheme="minorEastAsia"/>
                                <w:bCs/>
                                <w:color w:val="000000" w:themeColor="text1"/>
                                <w:kern w:val="24"/>
                                <w:sz w:val="28"/>
                                <w:szCs w:val="28"/>
                              </w:rPr>
                            </w:pPr>
                          </w:p>
                          <w:p w14:paraId="0FF5D681" w14:textId="77777777" w:rsidR="00C8381F" w:rsidRPr="00664E6E" w:rsidRDefault="00C8381F" w:rsidP="00C8381F">
                            <w:pPr>
                              <w:spacing w:after="0"/>
                              <w:jc w:val="center"/>
                              <w:rPr>
                                <w:rFonts w:eastAsiaTheme="minorEastAsia"/>
                                <w:bCs/>
                                <w:color w:val="000000" w:themeColor="text1"/>
                                <w:kern w:val="24"/>
                                <w:sz w:val="28"/>
                                <w:szCs w:val="28"/>
                              </w:rPr>
                            </w:pPr>
                            <w:r w:rsidRPr="00664E6E">
                              <w:rPr>
                                <w:rFonts w:eastAsiaTheme="minorEastAsia"/>
                                <w:bCs/>
                                <w:color w:val="000000" w:themeColor="text1"/>
                                <w:kern w:val="24"/>
                                <w:sz w:val="28"/>
                                <w:szCs w:val="28"/>
                              </w:rPr>
                              <w:t>Finance Division</w:t>
                            </w:r>
                          </w:p>
                          <w:p w14:paraId="6532DB8B" w14:textId="77777777" w:rsidR="00C8381F" w:rsidRDefault="00C8381F" w:rsidP="00C8381F">
                            <w:pPr>
                              <w:spacing w:after="0"/>
                              <w:jc w:val="center"/>
                              <w:rPr>
                                <w:rFonts w:eastAsiaTheme="minorEastAsia"/>
                                <w:bCs/>
                                <w:color w:val="000000" w:themeColor="text1"/>
                                <w:kern w:val="24"/>
                                <w:sz w:val="28"/>
                                <w:szCs w:val="28"/>
                              </w:rPr>
                            </w:pPr>
                            <w:r>
                              <w:rPr>
                                <w:rFonts w:eastAsiaTheme="minorEastAsia"/>
                                <w:bCs/>
                                <w:color w:val="000000" w:themeColor="text1"/>
                                <w:kern w:val="24"/>
                                <w:sz w:val="28"/>
                                <w:szCs w:val="28"/>
                              </w:rPr>
                              <w:t>Latonia R. McKinney, Director</w:t>
                            </w:r>
                          </w:p>
                          <w:p w14:paraId="6B1D44AD" w14:textId="77777777" w:rsidR="00C8381F" w:rsidRDefault="00C8381F" w:rsidP="00C8381F">
                            <w:pPr>
                              <w:spacing w:before="120" w:after="0"/>
                              <w:jc w:val="center"/>
                              <w:rPr>
                                <w:rFonts w:eastAsiaTheme="minorEastAsia"/>
                                <w:bCs/>
                                <w:color w:val="000000" w:themeColor="text1"/>
                                <w:kern w:val="24"/>
                                <w:sz w:val="28"/>
                                <w:szCs w:val="28"/>
                              </w:rPr>
                            </w:pPr>
                          </w:p>
                          <w:p w14:paraId="5CE0913D" w14:textId="77777777" w:rsidR="00C8381F" w:rsidRPr="00034021" w:rsidRDefault="00C8381F" w:rsidP="00C8381F">
                            <w:pPr>
                              <w:spacing w:before="120" w:after="0"/>
                              <w:jc w:val="center"/>
                              <w:rPr>
                                <w:rFonts w:eastAsiaTheme="minorEastAsia"/>
                                <w:bCs/>
                                <w:color w:val="000000" w:themeColor="text1"/>
                                <w:kern w:val="24"/>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EC35227" id="Rectangle 7" o:spid="_x0000_s1027" style="position:absolute;left:0;text-align:left;margin-left:-38pt;margin-top:345.9pt;width:544.2pt;height:2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" filled="f" stroked="f">
                <v:textbox>
                  <w:txbxContent>
                    <w:p w14:paraId="2C10FEC8" w14:textId="77777777" w:rsidR="00C8381F" w:rsidRPr="00034021" w:rsidRDefault="00C8381F" w:rsidP="00C8381F">
                      <w:pPr>
                        <w:spacing w:after="0"/>
                        <w:jc w:val="center"/>
                        <w:rPr>
                          <w:rFonts w:eastAsiaTheme="minorEastAsia"/>
                          <w:bCs/>
                          <w:color w:val="000000" w:themeColor="text1"/>
                          <w:kern w:val="24"/>
                          <w:sz w:val="28"/>
                          <w:szCs w:val="28"/>
                        </w:rPr>
                      </w:pPr>
                      <w:r w:rsidRPr="00034021">
                        <w:rPr>
                          <w:rFonts w:eastAsiaTheme="minorEastAsia"/>
                          <w:bCs/>
                          <w:color w:val="000000" w:themeColor="text1"/>
                          <w:kern w:val="24"/>
                          <w:sz w:val="28"/>
                          <w:szCs w:val="28"/>
                        </w:rPr>
                        <w:t>Report to the Committee on Finance</w:t>
                      </w:r>
                    </w:p>
                    <w:p w14:paraId="230AF932" w14:textId="77777777" w:rsidR="00C8381F" w:rsidRPr="00034021" w:rsidRDefault="00C8381F" w:rsidP="00C8381F">
                      <w:pPr>
                        <w:spacing w:after="0"/>
                        <w:jc w:val="center"/>
                        <w:rPr>
                          <w:rFonts w:eastAsiaTheme="minorEastAsia"/>
                          <w:bCs/>
                          <w:color w:val="000000" w:themeColor="text1"/>
                          <w:kern w:val="24"/>
                          <w:sz w:val="28"/>
                          <w:szCs w:val="28"/>
                        </w:rPr>
                      </w:pPr>
                    </w:p>
                    <w:p w14:paraId="210F72CB" w14:textId="77777777" w:rsidR="00C8381F" w:rsidRPr="002176F5" w:rsidRDefault="00C8381F" w:rsidP="00C8381F">
                      <w:pPr>
                        <w:spacing w:after="0"/>
                        <w:jc w:val="center"/>
                        <w:rPr>
                          <w:b/>
                          <w:sz w:val="28"/>
                          <w:szCs w:val="28"/>
                        </w:rPr>
                      </w:pPr>
                      <w:r w:rsidRPr="002176F5">
                        <w:rPr>
                          <w:b/>
                          <w:sz w:val="28"/>
                          <w:szCs w:val="28"/>
                        </w:rPr>
                        <w:t xml:space="preserve">Economic and Revenue Forecast for the </w:t>
                      </w:r>
                    </w:p>
                    <w:p w14:paraId="68B392CF" w14:textId="77777777" w:rsidR="00C8381F" w:rsidRPr="002176F5" w:rsidRDefault="00C8381F" w:rsidP="00C8381F">
                      <w:pPr>
                        <w:spacing w:after="0"/>
                        <w:jc w:val="center"/>
                        <w:rPr>
                          <w:b/>
                          <w:sz w:val="28"/>
                          <w:szCs w:val="28"/>
                        </w:rPr>
                      </w:pPr>
                      <w:r w:rsidRPr="002176F5">
                        <w:rPr>
                          <w:b/>
                          <w:sz w:val="28"/>
                          <w:szCs w:val="28"/>
                        </w:rPr>
                        <w:t>Fiscal 2019 Preliminary Budget</w:t>
                      </w:r>
                    </w:p>
                    <w:p w14:paraId="7706BFD0" w14:textId="4F71D632" w:rsidR="00C8381F" w:rsidRPr="00B50674" w:rsidRDefault="00C8381F" w:rsidP="00C8381F">
                      <w:pPr>
                        <w:spacing w:after="0"/>
                        <w:jc w:val="center"/>
                        <w:rPr>
                          <w:rFonts w:eastAsiaTheme="minorEastAsia"/>
                          <w:b/>
                          <w:bCs/>
                          <w:color w:val="000000" w:themeColor="text1"/>
                          <w:kern w:val="24"/>
                          <w:sz w:val="28"/>
                          <w:szCs w:val="28"/>
                        </w:rPr>
                      </w:pPr>
                    </w:p>
                    <w:p w14:paraId="77DB730D" w14:textId="77777777" w:rsidR="00C8381F" w:rsidRDefault="00C8381F" w:rsidP="00C8381F">
                      <w:pPr>
                        <w:spacing w:before="120" w:after="0"/>
                        <w:jc w:val="center"/>
                        <w:rPr>
                          <w:rFonts w:eastAsiaTheme="minorEastAsia"/>
                          <w:bCs/>
                          <w:color w:val="000000" w:themeColor="text1"/>
                          <w:kern w:val="24"/>
                          <w:sz w:val="28"/>
                          <w:szCs w:val="28"/>
                        </w:rPr>
                      </w:pPr>
                      <w:r w:rsidRPr="00034021">
                        <w:rPr>
                          <w:rFonts w:eastAsiaTheme="minorEastAsia"/>
                          <w:bCs/>
                          <w:color w:val="000000" w:themeColor="text1"/>
                          <w:kern w:val="24"/>
                          <w:sz w:val="28"/>
                          <w:szCs w:val="28"/>
                        </w:rPr>
                        <w:t>March 5, 2018</w:t>
                      </w:r>
                    </w:p>
                    <w:p w14:paraId="38D9A0AD" w14:textId="77777777" w:rsidR="00C8381F" w:rsidRDefault="00C8381F" w:rsidP="00C8381F">
                      <w:pPr>
                        <w:spacing w:before="120" w:after="0"/>
                        <w:jc w:val="center"/>
                        <w:rPr>
                          <w:rFonts w:eastAsiaTheme="minorEastAsia"/>
                          <w:bCs/>
                          <w:color w:val="000000" w:themeColor="text1"/>
                          <w:kern w:val="24"/>
                          <w:sz w:val="28"/>
                          <w:szCs w:val="28"/>
                        </w:rPr>
                      </w:pPr>
                    </w:p>
                    <w:p w14:paraId="0FF5D681" w14:textId="77777777" w:rsidR="00C8381F" w:rsidRPr="00664E6E" w:rsidRDefault="00C8381F" w:rsidP="00C8381F">
                      <w:pPr>
                        <w:spacing w:after="0"/>
                        <w:jc w:val="center"/>
                        <w:rPr>
                          <w:rFonts w:eastAsiaTheme="minorEastAsia"/>
                          <w:bCs/>
                          <w:color w:val="000000" w:themeColor="text1"/>
                          <w:kern w:val="24"/>
                          <w:sz w:val="28"/>
                          <w:szCs w:val="28"/>
                        </w:rPr>
                      </w:pPr>
                      <w:r w:rsidRPr="00664E6E">
                        <w:rPr>
                          <w:rFonts w:eastAsiaTheme="minorEastAsia"/>
                          <w:bCs/>
                          <w:color w:val="000000" w:themeColor="text1"/>
                          <w:kern w:val="24"/>
                          <w:sz w:val="28"/>
                          <w:szCs w:val="28"/>
                        </w:rPr>
                        <w:t>Finance Division</w:t>
                      </w:r>
                    </w:p>
                    <w:p w14:paraId="6532DB8B" w14:textId="77777777" w:rsidR="00C8381F" w:rsidRDefault="00C8381F" w:rsidP="00C8381F">
                      <w:pPr>
                        <w:spacing w:after="0"/>
                        <w:jc w:val="center"/>
                        <w:rPr>
                          <w:rFonts w:eastAsiaTheme="minorEastAsia"/>
                          <w:bCs/>
                          <w:color w:val="000000" w:themeColor="text1"/>
                          <w:kern w:val="24"/>
                          <w:sz w:val="28"/>
                          <w:szCs w:val="28"/>
                        </w:rPr>
                      </w:pPr>
                      <w:r>
                        <w:rPr>
                          <w:rFonts w:eastAsiaTheme="minorEastAsia"/>
                          <w:bCs/>
                          <w:color w:val="000000" w:themeColor="text1"/>
                          <w:kern w:val="24"/>
                          <w:sz w:val="28"/>
                          <w:szCs w:val="28"/>
                        </w:rPr>
                        <w:t>Latonia R. McKinney, Director</w:t>
                      </w:r>
                    </w:p>
                    <w:p w14:paraId="6B1D44AD" w14:textId="77777777" w:rsidR="00C8381F" w:rsidRDefault="00C8381F" w:rsidP="00C8381F">
                      <w:pPr>
                        <w:spacing w:before="120" w:after="0"/>
                        <w:jc w:val="center"/>
                        <w:rPr>
                          <w:rFonts w:eastAsiaTheme="minorEastAsia"/>
                          <w:bCs/>
                          <w:color w:val="000000" w:themeColor="text1"/>
                          <w:kern w:val="24"/>
                          <w:sz w:val="28"/>
                          <w:szCs w:val="28"/>
                        </w:rPr>
                      </w:pPr>
                    </w:p>
                    <w:p w14:paraId="5CE0913D" w14:textId="77777777" w:rsidR="00C8381F" w:rsidRPr="00034021" w:rsidRDefault="00C8381F" w:rsidP="00C8381F">
                      <w:pPr>
                        <w:spacing w:before="120" w:after="0"/>
                        <w:jc w:val="center"/>
                        <w:rPr>
                          <w:rFonts w:eastAsiaTheme="minorEastAsia"/>
                          <w:bCs/>
                          <w:color w:val="000000" w:themeColor="text1"/>
                          <w:kern w:val="24"/>
                          <w:sz w:val="28"/>
                          <w:szCs w:val="28"/>
                        </w:rPr>
                      </w:pPr>
                    </w:p>
                  </w:txbxContent>
                </v:textbox>
                <w10:wrap anchorx="margin"/>
              </v:rect>
            </w:pict>
          </mc:Fallback>
        </mc:AlternateContent>
      </w:r>
    </w:p>
    <w:p w14:paraId="68B32102" w14:textId="1D9D417E" w:rsidR="003F21B8" w:rsidRPr="0015644E" w:rsidRDefault="00F960D7" w:rsidP="003F21B8">
      <w:pPr>
        <w:spacing w:after="0"/>
        <w:jc w:val="center"/>
        <w:rPr>
          <w:rFonts w:asciiTheme="majorHAnsi" w:hAnsiTheme="majorHAnsi"/>
          <w:b/>
          <w:color w:val="8496B0" w:themeColor="text2" w:themeTint="99"/>
          <w:sz w:val="36"/>
          <w:szCs w:val="36"/>
        </w:rPr>
      </w:pPr>
      <w:r>
        <w:rPr>
          <w:rFonts w:asciiTheme="majorHAnsi" w:hAnsiTheme="majorHAnsi"/>
          <w:b/>
          <w:color w:val="8496B0" w:themeColor="text2" w:themeTint="99"/>
          <w:sz w:val="36"/>
          <w:szCs w:val="36"/>
        </w:rPr>
        <w:lastRenderedPageBreak/>
        <w:t>Revenue and Economics Unit</w:t>
      </w:r>
    </w:p>
    <w:p w14:paraId="689739FE" w14:textId="2CCBBE45" w:rsidR="00431676" w:rsidRDefault="00431676" w:rsidP="00F960D7">
      <w:pPr>
        <w:spacing w:after="0"/>
        <w:rPr>
          <w:sz w:val="21"/>
          <w:szCs w:val="21"/>
        </w:rPr>
      </w:pPr>
    </w:p>
    <w:p w14:paraId="3EBF3E9A" w14:textId="77777777" w:rsidR="00431676" w:rsidRPr="007A28EC" w:rsidRDefault="00431676" w:rsidP="00431676">
      <w:pPr>
        <w:spacing w:after="0"/>
        <w:jc w:val="center"/>
        <w:rPr>
          <w:sz w:val="21"/>
          <w:szCs w:val="21"/>
        </w:rPr>
      </w:pPr>
      <w:r w:rsidRPr="007A28EC">
        <w:rPr>
          <w:sz w:val="21"/>
          <w:szCs w:val="21"/>
        </w:rPr>
        <w:t>Raymond Majewski, Deputy Director, Chief Economist</w:t>
      </w:r>
    </w:p>
    <w:p w14:paraId="49D172E3" w14:textId="77777777" w:rsidR="00431676" w:rsidRPr="007A28EC" w:rsidRDefault="00431676" w:rsidP="00431676">
      <w:pPr>
        <w:spacing w:after="0"/>
        <w:jc w:val="center"/>
        <w:rPr>
          <w:sz w:val="21"/>
          <w:szCs w:val="21"/>
        </w:rPr>
      </w:pPr>
      <w:r w:rsidRPr="007A28EC">
        <w:rPr>
          <w:sz w:val="21"/>
          <w:szCs w:val="21"/>
        </w:rPr>
        <w:t>Emre Edev, Assistant Director</w:t>
      </w:r>
    </w:p>
    <w:p w14:paraId="0331393F" w14:textId="77777777" w:rsidR="00431676" w:rsidRPr="007A28EC" w:rsidRDefault="00431676" w:rsidP="00431676">
      <w:pPr>
        <w:spacing w:after="0"/>
        <w:jc w:val="center"/>
        <w:rPr>
          <w:sz w:val="21"/>
          <w:szCs w:val="21"/>
        </w:rPr>
      </w:pPr>
      <w:r w:rsidRPr="007A28EC">
        <w:rPr>
          <w:sz w:val="21"/>
          <w:szCs w:val="21"/>
        </w:rPr>
        <w:t xml:space="preserve">Paul Sturm, </w:t>
      </w:r>
      <w:r>
        <w:rPr>
          <w:sz w:val="21"/>
          <w:szCs w:val="21"/>
        </w:rPr>
        <w:t>Supervising Economist</w:t>
      </w:r>
    </w:p>
    <w:p w14:paraId="126DE401" w14:textId="77777777" w:rsidR="00431676" w:rsidRDefault="00431676" w:rsidP="00431676">
      <w:pPr>
        <w:spacing w:after="0"/>
        <w:jc w:val="center"/>
        <w:rPr>
          <w:sz w:val="21"/>
          <w:szCs w:val="21"/>
        </w:rPr>
      </w:pPr>
      <w:r>
        <w:rPr>
          <w:sz w:val="21"/>
          <w:szCs w:val="21"/>
        </w:rPr>
        <w:t>Hector German</w:t>
      </w:r>
    </w:p>
    <w:p w14:paraId="1CD0C419" w14:textId="77777777" w:rsidR="00431676" w:rsidRPr="007A28EC" w:rsidRDefault="00431676" w:rsidP="00431676">
      <w:pPr>
        <w:spacing w:after="0"/>
        <w:jc w:val="center"/>
        <w:rPr>
          <w:sz w:val="21"/>
          <w:szCs w:val="21"/>
        </w:rPr>
      </w:pPr>
      <w:r>
        <w:rPr>
          <w:sz w:val="21"/>
          <w:szCs w:val="21"/>
        </w:rPr>
        <w:t>Kira McDonald</w:t>
      </w:r>
    </w:p>
    <w:p w14:paraId="0FFFB360" w14:textId="77777777" w:rsidR="00431676" w:rsidRPr="007A28EC" w:rsidRDefault="00431676" w:rsidP="00431676">
      <w:pPr>
        <w:spacing w:after="0"/>
        <w:jc w:val="center"/>
        <w:rPr>
          <w:sz w:val="21"/>
          <w:szCs w:val="21"/>
        </w:rPr>
      </w:pPr>
      <w:r w:rsidRPr="007A28EC">
        <w:rPr>
          <w:sz w:val="21"/>
          <w:szCs w:val="21"/>
        </w:rPr>
        <w:t>William Kyeremateng</w:t>
      </w:r>
    </w:p>
    <w:p w14:paraId="5F911781" w14:textId="77777777" w:rsidR="00431676" w:rsidRPr="007A28EC" w:rsidRDefault="00431676" w:rsidP="00431676">
      <w:pPr>
        <w:spacing w:after="0"/>
        <w:jc w:val="center"/>
        <w:rPr>
          <w:sz w:val="21"/>
          <w:szCs w:val="21"/>
        </w:rPr>
      </w:pPr>
      <w:r w:rsidRPr="007A28EC">
        <w:rPr>
          <w:sz w:val="21"/>
          <w:szCs w:val="21"/>
        </w:rPr>
        <w:t>Kendall Stephenson</w:t>
      </w:r>
    </w:p>
    <w:p w14:paraId="047E630A" w14:textId="5C3FA174" w:rsidR="00431676" w:rsidRPr="007A28EC" w:rsidRDefault="00431676" w:rsidP="00431676">
      <w:pPr>
        <w:spacing w:after="0"/>
        <w:jc w:val="center"/>
        <w:rPr>
          <w:sz w:val="21"/>
          <w:szCs w:val="21"/>
        </w:rPr>
      </w:pPr>
      <w:r w:rsidRPr="007A28EC">
        <w:rPr>
          <w:sz w:val="21"/>
          <w:szCs w:val="21"/>
        </w:rPr>
        <w:t>Davis Winslow</w:t>
      </w:r>
    </w:p>
    <w:p w14:paraId="0431919D" w14:textId="77777777" w:rsidR="003F21B8" w:rsidRPr="007A28EC" w:rsidRDefault="003F21B8" w:rsidP="003F21B8">
      <w:pPr>
        <w:spacing w:after="0"/>
        <w:jc w:val="center"/>
        <w:rPr>
          <w:sz w:val="21"/>
          <w:szCs w:val="21"/>
        </w:rPr>
      </w:pPr>
    </w:p>
    <w:p w14:paraId="062F4C83" w14:textId="0F554A0F" w:rsidR="00F960D7" w:rsidRDefault="00F960D7" w:rsidP="003F21B8">
      <w:pPr>
        <w:spacing w:after="0"/>
        <w:jc w:val="center"/>
        <w:rPr>
          <w:sz w:val="21"/>
          <w:szCs w:val="21"/>
        </w:rPr>
      </w:pPr>
      <w:bookmarkStart w:id="0" w:name="_GoBack"/>
      <w:bookmarkEnd w:id="0"/>
    </w:p>
    <w:p w14:paraId="5606D48D" w14:textId="77777777" w:rsidR="00F960D7" w:rsidRDefault="00F960D7" w:rsidP="003F21B8">
      <w:pPr>
        <w:spacing w:after="0"/>
        <w:jc w:val="center"/>
        <w:rPr>
          <w:sz w:val="21"/>
          <w:szCs w:val="21"/>
        </w:rPr>
        <w:sectPr w:rsidR="00F960D7" w:rsidSect="0015644E">
          <w:headerReference w:type="default" r:id="rId9"/>
          <w:pgSz w:w="12240" w:h="15840"/>
          <w:pgMar w:top="1152" w:right="1440" w:bottom="1440" w:left="1440" w:header="720" w:footer="720" w:gutter="0"/>
          <w:cols w:space="720"/>
          <w:docGrid w:linePitch="360"/>
        </w:sectPr>
      </w:pPr>
    </w:p>
    <w:p w14:paraId="27D17081" w14:textId="32D6143D" w:rsidR="003F21B8" w:rsidRPr="007A28EC" w:rsidRDefault="003F21B8" w:rsidP="003F21B8">
      <w:pPr>
        <w:spacing w:after="0"/>
        <w:jc w:val="center"/>
        <w:rPr>
          <w:sz w:val="21"/>
          <w:szCs w:val="21"/>
        </w:rPr>
      </w:pPr>
    </w:p>
    <w:sdt>
      <w:sdtPr>
        <w:rPr>
          <w:rFonts w:ascii="Cambria" w:eastAsiaTheme="minorHAnsi" w:hAnsi="Cambria" w:cstheme="minorBidi"/>
          <w:b w:val="0"/>
          <w:sz w:val="24"/>
          <w:szCs w:val="22"/>
        </w:rPr>
        <w:id w:val="-971205409"/>
        <w:docPartObj>
          <w:docPartGallery w:val="Table of Contents"/>
          <w:docPartUnique/>
        </w:docPartObj>
      </w:sdtPr>
      <w:sdtEndPr>
        <w:rPr>
          <w:rFonts w:asciiTheme="minorHAnsi" w:hAnsiTheme="minorHAnsi"/>
          <w:bCs/>
          <w:noProof/>
        </w:rPr>
      </w:sdtEndPr>
      <w:sdtContent>
        <w:p w14:paraId="42B32F5F" w14:textId="2F0F8300" w:rsidR="00732D5B" w:rsidRPr="0030291D" w:rsidRDefault="00732D5B" w:rsidP="00E62A0B">
          <w:pPr>
            <w:pStyle w:val="TOCHeading"/>
            <w:jc w:val="center"/>
            <w:rPr>
              <w:sz w:val="28"/>
              <w:szCs w:val="28"/>
            </w:rPr>
          </w:pPr>
          <w:r w:rsidRPr="0030291D">
            <w:rPr>
              <w:sz w:val="28"/>
              <w:szCs w:val="28"/>
            </w:rPr>
            <w:t>Table of Contents</w:t>
          </w:r>
        </w:p>
        <w:p w14:paraId="3F5F2351" w14:textId="6AF903DC" w:rsidR="00820D83" w:rsidRDefault="00732D5B">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07592262" w:history="1">
            <w:r w:rsidR="00820D83" w:rsidRPr="00BB3480">
              <w:rPr>
                <w:rStyle w:val="Hyperlink"/>
                <w:noProof/>
              </w:rPr>
              <w:t>Overview of the Report</w:t>
            </w:r>
            <w:r w:rsidR="00820D83">
              <w:rPr>
                <w:noProof/>
                <w:webHidden/>
              </w:rPr>
              <w:tab/>
            </w:r>
            <w:r w:rsidR="00820D83">
              <w:rPr>
                <w:noProof/>
                <w:webHidden/>
              </w:rPr>
              <w:fldChar w:fldCharType="begin"/>
            </w:r>
            <w:r w:rsidR="00820D83">
              <w:rPr>
                <w:noProof/>
                <w:webHidden/>
              </w:rPr>
              <w:instrText xml:space="preserve"> PAGEREF _Toc507592262 \h </w:instrText>
            </w:r>
            <w:r w:rsidR="00820D83">
              <w:rPr>
                <w:noProof/>
                <w:webHidden/>
              </w:rPr>
            </w:r>
            <w:r w:rsidR="00820D83">
              <w:rPr>
                <w:noProof/>
                <w:webHidden/>
              </w:rPr>
              <w:fldChar w:fldCharType="separate"/>
            </w:r>
            <w:r w:rsidR="00725FCF">
              <w:rPr>
                <w:noProof/>
                <w:webHidden/>
              </w:rPr>
              <w:t>1</w:t>
            </w:r>
            <w:r w:rsidR="00820D83">
              <w:rPr>
                <w:noProof/>
                <w:webHidden/>
              </w:rPr>
              <w:fldChar w:fldCharType="end"/>
            </w:r>
          </w:hyperlink>
        </w:p>
        <w:p w14:paraId="3FDAA069" w14:textId="2ACB31AA" w:rsidR="00820D83" w:rsidRDefault="00725FCF">
          <w:pPr>
            <w:pStyle w:val="TOC1"/>
            <w:tabs>
              <w:tab w:val="right" w:leader="dot" w:pos="9350"/>
            </w:tabs>
            <w:rPr>
              <w:rFonts w:eastAsiaTheme="minorEastAsia"/>
              <w:noProof/>
              <w:sz w:val="22"/>
            </w:rPr>
          </w:pPr>
          <w:hyperlink w:anchor="_Toc507592263" w:history="1">
            <w:r w:rsidR="00820D83" w:rsidRPr="00BB3480">
              <w:rPr>
                <w:rStyle w:val="Hyperlink"/>
                <w:noProof/>
              </w:rPr>
              <w:t>Economic Forecast</w:t>
            </w:r>
            <w:r w:rsidR="00820D83">
              <w:rPr>
                <w:noProof/>
                <w:webHidden/>
              </w:rPr>
              <w:tab/>
            </w:r>
            <w:r w:rsidR="00820D83">
              <w:rPr>
                <w:noProof/>
                <w:webHidden/>
              </w:rPr>
              <w:fldChar w:fldCharType="begin"/>
            </w:r>
            <w:r w:rsidR="00820D83">
              <w:rPr>
                <w:noProof/>
                <w:webHidden/>
              </w:rPr>
              <w:instrText xml:space="preserve"> PAGEREF _Toc507592263 \h </w:instrText>
            </w:r>
            <w:r w:rsidR="00820D83">
              <w:rPr>
                <w:noProof/>
                <w:webHidden/>
              </w:rPr>
            </w:r>
            <w:r w:rsidR="00820D83">
              <w:rPr>
                <w:noProof/>
                <w:webHidden/>
              </w:rPr>
              <w:fldChar w:fldCharType="separate"/>
            </w:r>
            <w:r>
              <w:rPr>
                <w:noProof/>
                <w:webHidden/>
              </w:rPr>
              <w:t>1</w:t>
            </w:r>
            <w:r w:rsidR="00820D83">
              <w:rPr>
                <w:noProof/>
                <w:webHidden/>
              </w:rPr>
              <w:fldChar w:fldCharType="end"/>
            </w:r>
          </w:hyperlink>
        </w:p>
        <w:p w14:paraId="4148B41C" w14:textId="53EA6152" w:rsidR="00820D83" w:rsidRDefault="00725FCF">
          <w:pPr>
            <w:pStyle w:val="TOC2"/>
            <w:tabs>
              <w:tab w:val="right" w:leader="dot" w:pos="9350"/>
            </w:tabs>
            <w:rPr>
              <w:rFonts w:eastAsiaTheme="minorEastAsia"/>
              <w:noProof/>
              <w:sz w:val="22"/>
            </w:rPr>
          </w:pPr>
          <w:hyperlink w:anchor="_Toc507592264" w:history="1">
            <w:r w:rsidR="00820D83" w:rsidRPr="00BB3480">
              <w:rPr>
                <w:rStyle w:val="Hyperlink"/>
                <w:noProof/>
              </w:rPr>
              <w:t>National Economy</w:t>
            </w:r>
            <w:r w:rsidR="00820D83">
              <w:rPr>
                <w:noProof/>
                <w:webHidden/>
              </w:rPr>
              <w:tab/>
            </w:r>
            <w:r w:rsidR="00820D83">
              <w:rPr>
                <w:noProof/>
                <w:webHidden/>
              </w:rPr>
              <w:fldChar w:fldCharType="begin"/>
            </w:r>
            <w:r w:rsidR="00820D83">
              <w:rPr>
                <w:noProof/>
                <w:webHidden/>
              </w:rPr>
              <w:instrText xml:space="preserve"> PAGEREF _Toc507592264 \h </w:instrText>
            </w:r>
            <w:r w:rsidR="00820D83">
              <w:rPr>
                <w:noProof/>
                <w:webHidden/>
              </w:rPr>
            </w:r>
            <w:r w:rsidR="00820D83">
              <w:rPr>
                <w:noProof/>
                <w:webHidden/>
              </w:rPr>
              <w:fldChar w:fldCharType="separate"/>
            </w:r>
            <w:r>
              <w:rPr>
                <w:noProof/>
                <w:webHidden/>
              </w:rPr>
              <w:t>1</w:t>
            </w:r>
            <w:r w:rsidR="00820D83">
              <w:rPr>
                <w:noProof/>
                <w:webHidden/>
              </w:rPr>
              <w:fldChar w:fldCharType="end"/>
            </w:r>
          </w:hyperlink>
        </w:p>
        <w:p w14:paraId="1D327974" w14:textId="7E2C6357" w:rsidR="00820D83" w:rsidRDefault="00725FCF">
          <w:pPr>
            <w:pStyle w:val="TOC2"/>
            <w:tabs>
              <w:tab w:val="right" w:leader="dot" w:pos="9350"/>
            </w:tabs>
            <w:rPr>
              <w:rFonts w:eastAsiaTheme="minorEastAsia"/>
              <w:noProof/>
              <w:sz w:val="22"/>
            </w:rPr>
          </w:pPr>
          <w:hyperlink w:anchor="_Toc507592265" w:history="1">
            <w:r w:rsidR="00820D83" w:rsidRPr="00BB3480">
              <w:rPr>
                <w:rStyle w:val="Hyperlink"/>
                <w:noProof/>
              </w:rPr>
              <w:t>City Economy</w:t>
            </w:r>
            <w:r w:rsidR="00820D83">
              <w:rPr>
                <w:noProof/>
                <w:webHidden/>
              </w:rPr>
              <w:tab/>
            </w:r>
            <w:r w:rsidR="00820D83">
              <w:rPr>
                <w:noProof/>
                <w:webHidden/>
              </w:rPr>
              <w:fldChar w:fldCharType="begin"/>
            </w:r>
            <w:r w:rsidR="00820D83">
              <w:rPr>
                <w:noProof/>
                <w:webHidden/>
              </w:rPr>
              <w:instrText xml:space="preserve"> PAGEREF _Toc507592265 \h </w:instrText>
            </w:r>
            <w:r w:rsidR="00820D83">
              <w:rPr>
                <w:noProof/>
                <w:webHidden/>
              </w:rPr>
            </w:r>
            <w:r w:rsidR="00820D83">
              <w:rPr>
                <w:noProof/>
                <w:webHidden/>
              </w:rPr>
              <w:fldChar w:fldCharType="separate"/>
            </w:r>
            <w:r>
              <w:rPr>
                <w:noProof/>
                <w:webHidden/>
              </w:rPr>
              <w:t>1</w:t>
            </w:r>
            <w:r w:rsidR="00820D83">
              <w:rPr>
                <w:noProof/>
                <w:webHidden/>
              </w:rPr>
              <w:fldChar w:fldCharType="end"/>
            </w:r>
          </w:hyperlink>
        </w:p>
        <w:p w14:paraId="346A2478" w14:textId="047D503A" w:rsidR="00820D83" w:rsidRDefault="00725FCF">
          <w:pPr>
            <w:pStyle w:val="TOC2"/>
            <w:tabs>
              <w:tab w:val="right" w:leader="dot" w:pos="9350"/>
            </w:tabs>
            <w:rPr>
              <w:rFonts w:eastAsiaTheme="minorEastAsia"/>
              <w:noProof/>
              <w:sz w:val="22"/>
            </w:rPr>
          </w:pPr>
          <w:hyperlink w:anchor="_Toc507592266" w:history="1">
            <w:r w:rsidR="00820D83" w:rsidRPr="00BB3480">
              <w:rPr>
                <w:rStyle w:val="Hyperlink"/>
                <w:noProof/>
              </w:rPr>
              <w:t>Comparison to OMB’s Forecast</w:t>
            </w:r>
            <w:r w:rsidR="00820D83">
              <w:rPr>
                <w:noProof/>
                <w:webHidden/>
              </w:rPr>
              <w:tab/>
            </w:r>
            <w:r w:rsidR="00820D83">
              <w:rPr>
                <w:noProof/>
                <w:webHidden/>
              </w:rPr>
              <w:fldChar w:fldCharType="begin"/>
            </w:r>
            <w:r w:rsidR="00820D83">
              <w:rPr>
                <w:noProof/>
                <w:webHidden/>
              </w:rPr>
              <w:instrText xml:space="preserve"> PAGEREF _Toc507592266 \h </w:instrText>
            </w:r>
            <w:r w:rsidR="00820D83">
              <w:rPr>
                <w:noProof/>
                <w:webHidden/>
              </w:rPr>
            </w:r>
            <w:r w:rsidR="00820D83">
              <w:rPr>
                <w:noProof/>
                <w:webHidden/>
              </w:rPr>
              <w:fldChar w:fldCharType="separate"/>
            </w:r>
            <w:r>
              <w:rPr>
                <w:noProof/>
                <w:webHidden/>
              </w:rPr>
              <w:t>4</w:t>
            </w:r>
            <w:r w:rsidR="00820D83">
              <w:rPr>
                <w:noProof/>
                <w:webHidden/>
              </w:rPr>
              <w:fldChar w:fldCharType="end"/>
            </w:r>
          </w:hyperlink>
        </w:p>
        <w:p w14:paraId="6705D473" w14:textId="56CEAC14" w:rsidR="00820D83" w:rsidRDefault="00725FCF">
          <w:pPr>
            <w:pStyle w:val="TOC1"/>
            <w:tabs>
              <w:tab w:val="right" w:leader="dot" w:pos="9350"/>
            </w:tabs>
            <w:rPr>
              <w:rFonts w:eastAsiaTheme="minorEastAsia"/>
              <w:noProof/>
              <w:sz w:val="22"/>
            </w:rPr>
          </w:pPr>
          <w:hyperlink w:anchor="_Toc507592267" w:history="1">
            <w:r w:rsidR="00820D83" w:rsidRPr="00BB3480">
              <w:rPr>
                <w:rStyle w:val="Hyperlink"/>
                <w:noProof/>
              </w:rPr>
              <w:t>Tax Revenue Forecast</w:t>
            </w:r>
            <w:r w:rsidR="00820D83">
              <w:rPr>
                <w:noProof/>
                <w:webHidden/>
              </w:rPr>
              <w:tab/>
            </w:r>
            <w:r w:rsidR="00820D83">
              <w:rPr>
                <w:noProof/>
                <w:webHidden/>
              </w:rPr>
              <w:fldChar w:fldCharType="begin"/>
            </w:r>
            <w:r w:rsidR="00820D83">
              <w:rPr>
                <w:noProof/>
                <w:webHidden/>
              </w:rPr>
              <w:instrText xml:space="preserve"> PAGEREF _Toc507592267 \h </w:instrText>
            </w:r>
            <w:r w:rsidR="00820D83">
              <w:rPr>
                <w:noProof/>
                <w:webHidden/>
              </w:rPr>
            </w:r>
            <w:r w:rsidR="00820D83">
              <w:rPr>
                <w:noProof/>
                <w:webHidden/>
              </w:rPr>
              <w:fldChar w:fldCharType="separate"/>
            </w:r>
            <w:r>
              <w:rPr>
                <w:noProof/>
                <w:webHidden/>
              </w:rPr>
              <w:t>4</w:t>
            </w:r>
            <w:r w:rsidR="00820D83">
              <w:rPr>
                <w:noProof/>
                <w:webHidden/>
              </w:rPr>
              <w:fldChar w:fldCharType="end"/>
            </w:r>
          </w:hyperlink>
        </w:p>
        <w:p w14:paraId="65B43D35" w14:textId="5A892725" w:rsidR="00820D83" w:rsidRDefault="00725FCF">
          <w:pPr>
            <w:pStyle w:val="TOC3"/>
            <w:tabs>
              <w:tab w:val="right" w:leader="dot" w:pos="9350"/>
            </w:tabs>
            <w:rPr>
              <w:rFonts w:eastAsiaTheme="minorEastAsia"/>
              <w:noProof/>
              <w:sz w:val="22"/>
            </w:rPr>
          </w:pPr>
          <w:hyperlink w:anchor="_Toc507592268" w:history="1">
            <w:r w:rsidR="00820D83" w:rsidRPr="00BB3480">
              <w:rPr>
                <w:rStyle w:val="Hyperlink"/>
                <w:noProof/>
              </w:rPr>
              <w:t>Real Property Tax</w:t>
            </w:r>
            <w:r w:rsidR="00820D83">
              <w:rPr>
                <w:noProof/>
                <w:webHidden/>
              </w:rPr>
              <w:tab/>
            </w:r>
            <w:r w:rsidR="00820D83">
              <w:rPr>
                <w:noProof/>
                <w:webHidden/>
              </w:rPr>
              <w:fldChar w:fldCharType="begin"/>
            </w:r>
            <w:r w:rsidR="00820D83">
              <w:rPr>
                <w:noProof/>
                <w:webHidden/>
              </w:rPr>
              <w:instrText xml:space="preserve"> PAGEREF _Toc507592268 \h </w:instrText>
            </w:r>
            <w:r w:rsidR="00820D83">
              <w:rPr>
                <w:noProof/>
                <w:webHidden/>
              </w:rPr>
            </w:r>
            <w:r w:rsidR="00820D83">
              <w:rPr>
                <w:noProof/>
                <w:webHidden/>
              </w:rPr>
              <w:fldChar w:fldCharType="separate"/>
            </w:r>
            <w:r>
              <w:rPr>
                <w:noProof/>
                <w:webHidden/>
              </w:rPr>
              <w:t>5</w:t>
            </w:r>
            <w:r w:rsidR="00820D83">
              <w:rPr>
                <w:noProof/>
                <w:webHidden/>
              </w:rPr>
              <w:fldChar w:fldCharType="end"/>
            </w:r>
          </w:hyperlink>
        </w:p>
        <w:p w14:paraId="4E9CF6A4" w14:textId="1D4FFF8B" w:rsidR="00820D83" w:rsidRDefault="00725FCF">
          <w:pPr>
            <w:pStyle w:val="TOC3"/>
            <w:tabs>
              <w:tab w:val="right" w:leader="dot" w:pos="9350"/>
            </w:tabs>
            <w:rPr>
              <w:rFonts w:eastAsiaTheme="minorEastAsia"/>
              <w:noProof/>
              <w:sz w:val="22"/>
            </w:rPr>
          </w:pPr>
          <w:hyperlink w:anchor="_Toc507592269" w:history="1">
            <w:r w:rsidR="00820D83" w:rsidRPr="00BB3480">
              <w:rPr>
                <w:rStyle w:val="Hyperlink"/>
                <w:noProof/>
              </w:rPr>
              <w:t>Personal Income Tax (PIT)</w:t>
            </w:r>
            <w:r w:rsidR="00820D83">
              <w:rPr>
                <w:noProof/>
                <w:webHidden/>
              </w:rPr>
              <w:tab/>
            </w:r>
            <w:r w:rsidR="00820D83">
              <w:rPr>
                <w:noProof/>
                <w:webHidden/>
              </w:rPr>
              <w:fldChar w:fldCharType="begin"/>
            </w:r>
            <w:r w:rsidR="00820D83">
              <w:rPr>
                <w:noProof/>
                <w:webHidden/>
              </w:rPr>
              <w:instrText xml:space="preserve"> PAGEREF _Toc507592269 \h </w:instrText>
            </w:r>
            <w:r w:rsidR="00820D83">
              <w:rPr>
                <w:noProof/>
                <w:webHidden/>
              </w:rPr>
            </w:r>
            <w:r w:rsidR="00820D83">
              <w:rPr>
                <w:noProof/>
                <w:webHidden/>
              </w:rPr>
              <w:fldChar w:fldCharType="separate"/>
            </w:r>
            <w:r>
              <w:rPr>
                <w:noProof/>
                <w:webHidden/>
              </w:rPr>
              <w:t>5</w:t>
            </w:r>
            <w:r w:rsidR="00820D83">
              <w:rPr>
                <w:noProof/>
                <w:webHidden/>
              </w:rPr>
              <w:fldChar w:fldCharType="end"/>
            </w:r>
          </w:hyperlink>
        </w:p>
        <w:p w14:paraId="76AEC9FE" w14:textId="48FD1045" w:rsidR="00820D83" w:rsidRDefault="00725FCF">
          <w:pPr>
            <w:pStyle w:val="TOC3"/>
            <w:tabs>
              <w:tab w:val="right" w:leader="dot" w:pos="9350"/>
            </w:tabs>
            <w:rPr>
              <w:rFonts w:eastAsiaTheme="minorEastAsia"/>
              <w:noProof/>
              <w:sz w:val="22"/>
            </w:rPr>
          </w:pPr>
          <w:hyperlink w:anchor="_Toc507592270" w:history="1">
            <w:r w:rsidR="00820D83" w:rsidRPr="00BB3480">
              <w:rPr>
                <w:rStyle w:val="Hyperlink"/>
                <w:noProof/>
              </w:rPr>
              <w:t>Business Taxes</w:t>
            </w:r>
            <w:r w:rsidR="00820D83">
              <w:rPr>
                <w:noProof/>
                <w:webHidden/>
              </w:rPr>
              <w:tab/>
            </w:r>
            <w:r w:rsidR="00820D83">
              <w:rPr>
                <w:noProof/>
                <w:webHidden/>
              </w:rPr>
              <w:fldChar w:fldCharType="begin"/>
            </w:r>
            <w:r w:rsidR="00820D83">
              <w:rPr>
                <w:noProof/>
                <w:webHidden/>
              </w:rPr>
              <w:instrText xml:space="preserve"> PAGEREF _Toc507592270 \h </w:instrText>
            </w:r>
            <w:r w:rsidR="00820D83">
              <w:rPr>
                <w:noProof/>
                <w:webHidden/>
              </w:rPr>
            </w:r>
            <w:r w:rsidR="00820D83">
              <w:rPr>
                <w:noProof/>
                <w:webHidden/>
              </w:rPr>
              <w:fldChar w:fldCharType="separate"/>
            </w:r>
            <w:r>
              <w:rPr>
                <w:noProof/>
                <w:webHidden/>
              </w:rPr>
              <w:t>5</w:t>
            </w:r>
            <w:r w:rsidR="00820D83">
              <w:rPr>
                <w:noProof/>
                <w:webHidden/>
              </w:rPr>
              <w:fldChar w:fldCharType="end"/>
            </w:r>
          </w:hyperlink>
        </w:p>
        <w:p w14:paraId="2A87FC00" w14:textId="76BC3BC5" w:rsidR="00820D83" w:rsidRDefault="00725FCF">
          <w:pPr>
            <w:pStyle w:val="TOC3"/>
            <w:tabs>
              <w:tab w:val="right" w:leader="dot" w:pos="9350"/>
            </w:tabs>
            <w:rPr>
              <w:rFonts w:eastAsiaTheme="minorEastAsia"/>
              <w:noProof/>
              <w:sz w:val="22"/>
            </w:rPr>
          </w:pPr>
          <w:hyperlink w:anchor="_Toc507592271" w:history="1">
            <w:r w:rsidR="00820D83" w:rsidRPr="00BB3480">
              <w:rPr>
                <w:rStyle w:val="Hyperlink"/>
                <w:noProof/>
              </w:rPr>
              <w:t>Other Taxes</w:t>
            </w:r>
            <w:r w:rsidR="00820D83">
              <w:rPr>
                <w:noProof/>
                <w:webHidden/>
              </w:rPr>
              <w:tab/>
            </w:r>
            <w:r w:rsidR="00820D83">
              <w:rPr>
                <w:noProof/>
                <w:webHidden/>
              </w:rPr>
              <w:fldChar w:fldCharType="begin"/>
            </w:r>
            <w:r w:rsidR="00820D83">
              <w:rPr>
                <w:noProof/>
                <w:webHidden/>
              </w:rPr>
              <w:instrText xml:space="preserve"> PAGEREF _Toc507592271 \h </w:instrText>
            </w:r>
            <w:r w:rsidR="00820D83">
              <w:rPr>
                <w:noProof/>
                <w:webHidden/>
              </w:rPr>
            </w:r>
            <w:r w:rsidR="00820D83">
              <w:rPr>
                <w:noProof/>
                <w:webHidden/>
              </w:rPr>
              <w:fldChar w:fldCharType="separate"/>
            </w:r>
            <w:r>
              <w:rPr>
                <w:noProof/>
                <w:webHidden/>
              </w:rPr>
              <w:t>6</w:t>
            </w:r>
            <w:r w:rsidR="00820D83">
              <w:rPr>
                <w:noProof/>
                <w:webHidden/>
              </w:rPr>
              <w:fldChar w:fldCharType="end"/>
            </w:r>
          </w:hyperlink>
        </w:p>
        <w:p w14:paraId="3DDB670A" w14:textId="7EAE6701" w:rsidR="00820D83" w:rsidRDefault="00725FCF">
          <w:pPr>
            <w:pStyle w:val="TOC2"/>
            <w:tabs>
              <w:tab w:val="right" w:leader="dot" w:pos="9350"/>
            </w:tabs>
            <w:rPr>
              <w:rFonts w:eastAsiaTheme="minorEastAsia"/>
              <w:noProof/>
              <w:sz w:val="22"/>
            </w:rPr>
          </w:pPr>
          <w:hyperlink w:anchor="_Toc507592272" w:history="1">
            <w:r w:rsidR="00820D83" w:rsidRPr="00BB3480">
              <w:rPr>
                <w:rStyle w:val="Hyperlink"/>
                <w:noProof/>
              </w:rPr>
              <w:t>Comparison to OMB’s Forecast</w:t>
            </w:r>
            <w:r w:rsidR="00820D83">
              <w:rPr>
                <w:noProof/>
                <w:webHidden/>
              </w:rPr>
              <w:tab/>
            </w:r>
            <w:r w:rsidR="00820D83">
              <w:rPr>
                <w:noProof/>
                <w:webHidden/>
              </w:rPr>
              <w:fldChar w:fldCharType="begin"/>
            </w:r>
            <w:r w:rsidR="00820D83">
              <w:rPr>
                <w:noProof/>
                <w:webHidden/>
              </w:rPr>
              <w:instrText xml:space="preserve"> PAGEREF _Toc507592272 \h </w:instrText>
            </w:r>
            <w:r w:rsidR="00820D83">
              <w:rPr>
                <w:noProof/>
                <w:webHidden/>
              </w:rPr>
            </w:r>
            <w:r w:rsidR="00820D83">
              <w:rPr>
                <w:noProof/>
                <w:webHidden/>
              </w:rPr>
              <w:fldChar w:fldCharType="separate"/>
            </w:r>
            <w:r>
              <w:rPr>
                <w:noProof/>
                <w:webHidden/>
              </w:rPr>
              <w:t>6</w:t>
            </w:r>
            <w:r w:rsidR="00820D83">
              <w:rPr>
                <w:noProof/>
                <w:webHidden/>
              </w:rPr>
              <w:fldChar w:fldCharType="end"/>
            </w:r>
          </w:hyperlink>
        </w:p>
        <w:p w14:paraId="250CB8B6" w14:textId="732B6925" w:rsidR="00820D83" w:rsidRDefault="00725FCF">
          <w:pPr>
            <w:pStyle w:val="TOC1"/>
            <w:tabs>
              <w:tab w:val="right" w:leader="dot" w:pos="9350"/>
            </w:tabs>
            <w:rPr>
              <w:rFonts w:eastAsiaTheme="minorEastAsia"/>
              <w:noProof/>
              <w:sz w:val="22"/>
            </w:rPr>
          </w:pPr>
          <w:hyperlink w:anchor="_Toc507592273" w:history="1">
            <w:r w:rsidR="00820D83" w:rsidRPr="00BB3480">
              <w:rPr>
                <w:rStyle w:val="Hyperlink"/>
                <w:noProof/>
              </w:rPr>
              <w:t>Tax Cuts and Jobs Act</w:t>
            </w:r>
            <w:r w:rsidR="00820D83">
              <w:rPr>
                <w:noProof/>
                <w:webHidden/>
              </w:rPr>
              <w:tab/>
            </w:r>
            <w:r w:rsidR="00820D83">
              <w:rPr>
                <w:noProof/>
                <w:webHidden/>
              </w:rPr>
              <w:fldChar w:fldCharType="begin"/>
            </w:r>
            <w:r w:rsidR="00820D83">
              <w:rPr>
                <w:noProof/>
                <w:webHidden/>
              </w:rPr>
              <w:instrText xml:space="preserve"> PAGEREF _Toc507592273 \h </w:instrText>
            </w:r>
            <w:r w:rsidR="00820D83">
              <w:rPr>
                <w:noProof/>
                <w:webHidden/>
              </w:rPr>
            </w:r>
            <w:r w:rsidR="00820D83">
              <w:rPr>
                <w:noProof/>
                <w:webHidden/>
              </w:rPr>
              <w:fldChar w:fldCharType="separate"/>
            </w:r>
            <w:r>
              <w:rPr>
                <w:noProof/>
                <w:webHidden/>
              </w:rPr>
              <w:t>7</w:t>
            </w:r>
            <w:r w:rsidR="00820D83">
              <w:rPr>
                <w:noProof/>
                <w:webHidden/>
              </w:rPr>
              <w:fldChar w:fldCharType="end"/>
            </w:r>
          </w:hyperlink>
        </w:p>
        <w:p w14:paraId="7416DBEE" w14:textId="7E6146D3" w:rsidR="00820D83" w:rsidRDefault="00725FCF">
          <w:pPr>
            <w:pStyle w:val="TOC2"/>
            <w:tabs>
              <w:tab w:val="right" w:leader="dot" w:pos="9350"/>
            </w:tabs>
            <w:rPr>
              <w:rFonts w:eastAsiaTheme="minorEastAsia"/>
              <w:noProof/>
              <w:sz w:val="22"/>
            </w:rPr>
          </w:pPr>
          <w:hyperlink w:anchor="_Toc507592274" w:history="1">
            <w:r w:rsidR="00820D83" w:rsidRPr="00BB3480">
              <w:rPr>
                <w:rStyle w:val="Hyperlink"/>
                <w:noProof/>
              </w:rPr>
              <w:t>Impact on the National Economy</w:t>
            </w:r>
            <w:r w:rsidR="00820D83">
              <w:rPr>
                <w:noProof/>
                <w:webHidden/>
              </w:rPr>
              <w:tab/>
            </w:r>
            <w:r w:rsidR="00820D83">
              <w:rPr>
                <w:noProof/>
                <w:webHidden/>
              </w:rPr>
              <w:fldChar w:fldCharType="begin"/>
            </w:r>
            <w:r w:rsidR="00820D83">
              <w:rPr>
                <w:noProof/>
                <w:webHidden/>
              </w:rPr>
              <w:instrText xml:space="preserve"> PAGEREF _Toc507592274 \h </w:instrText>
            </w:r>
            <w:r w:rsidR="00820D83">
              <w:rPr>
                <w:noProof/>
                <w:webHidden/>
              </w:rPr>
            </w:r>
            <w:r w:rsidR="00820D83">
              <w:rPr>
                <w:noProof/>
                <w:webHidden/>
              </w:rPr>
              <w:fldChar w:fldCharType="separate"/>
            </w:r>
            <w:r>
              <w:rPr>
                <w:noProof/>
                <w:webHidden/>
              </w:rPr>
              <w:t>7</w:t>
            </w:r>
            <w:r w:rsidR="00820D83">
              <w:rPr>
                <w:noProof/>
                <w:webHidden/>
              </w:rPr>
              <w:fldChar w:fldCharType="end"/>
            </w:r>
          </w:hyperlink>
        </w:p>
        <w:p w14:paraId="2C00340C" w14:textId="5F9A173B" w:rsidR="00820D83" w:rsidRDefault="00725FCF">
          <w:pPr>
            <w:pStyle w:val="TOC2"/>
            <w:tabs>
              <w:tab w:val="right" w:leader="dot" w:pos="9350"/>
            </w:tabs>
            <w:rPr>
              <w:rFonts w:eastAsiaTheme="minorEastAsia"/>
              <w:noProof/>
              <w:sz w:val="22"/>
            </w:rPr>
          </w:pPr>
          <w:hyperlink w:anchor="_Toc507592275" w:history="1">
            <w:r w:rsidR="00820D83" w:rsidRPr="00BB3480">
              <w:rPr>
                <w:rStyle w:val="Hyperlink"/>
                <w:noProof/>
              </w:rPr>
              <w:t>Impact on New York City</w:t>
            </w:r>
            <w:r w:rsidR="00820D83">
              <w:rPr>
                <w:noProof/>
                <w:webHidden/>
              </w:rPr>
              <w:tab/>
            </w:r>
            <w:r w:rsidR="00820D83">
              <w:rPr>
                <w:noProof/>
                <w:webHidden/>
              </w:rPr>
              <w:fldChar w:fldCharType="begin"/>
            </w:r>
            <w:r w:rsidR="00820D83">
              <w:rPr>
                <w:noProof/>
                <w:webHidden/>
              </w:rPr>
              <w:instrText xml:space="preserve"> PAGEREF _Toc507592275 \h </w:instrText>
            </w:r>
            <w:r w:rsidR="00820D83">
              <w:rPr>
                <w:noProof/>
                <w:webHidden/>
              </w:rPr>
            </w:r>
            <w:r w:rsidR="00820D83">
              <w:rPr>
                <w:noProof/>
                <w:webHidden/>
              </w:rPr>
              <w:fldChar w:fldCharType="separate"/>
            </w:r>
            <w:r>
              <w:rPr>
                <w:noProof/>
                <w:webHidden/>
              </w:rPr>
              <w:t>10</w:t>
            </w:r>
            <w:r w:rsidR="00820D83">
              <w:rPr>
                <w:noProof/>
                <w:webHidden/>
              </w:rPr>
              <w:fldChar w:fldCharType="end"/>
            </w:r>
          </w:hyperlink>
        </w:p>
        <w:p w14:paraId="1ED96A22" w14:textId="2994044E" w:rsidR="00820D83" w:rsidRDefault="00725FCF">
          <w:pPr>
            <w:pStyle w:val="TOC2"/>
            <w:tabs>
              <w:tab w:val="right" w:leader="dot" w:pos="9350"/>
            </w:tabs>
            <w:rPr>
              <w:rFonts w:eastAsiaTheme="minorEastAsia"/>
              <w:noProof/>
              <w:sz w:val="22"/>
            </w:rPr>
          </w:pPr>
          <w:hyperlink w:anchor="_Toc507592276" w:history="1">
            <w:r w:rsidR="00820D83" w:rsidRPr="00BB3480">
              <w:rPr>
                <w:rStyle w:val="Hyperlink"/>
                <w:noProof/>
              </w:rPr>
              <w:t>Impact on City Revenues</w:t>
            </w:r>
            <w:r w:rsidR="00820D83">
              <w:rPr>
                <w:noProof/>
                <w:webHidden/>
              </w:rPr>
              <w:tab/>
            </w:r>
            <w:r w:rsidR="00820D83">
              <w:rPr>
                <w:noProof/>
                <w:webHidden/>
              </w:rPr>
              <w:fldChar w:fldCharType="begin"/>
            </w:r>
            <w:r w:rsidR="00820D83">
              <w:rPr>
                <w:noProof/>
                <w:webHidden/>
              </w:rPr>
              <w:instrText xml:space="preserve"> PAGEREF _Toc507592276 \h </w:instrText>
            </w:r>
            <w:r w:rsidR="00820D83">
              <w:rPr>
                <w:noProof/>
                <w:webHidden/>
              </w:rPr>
            </w:r>
            <w:r w:rsidR="00820D83">
              <w:rPr>
                <w:noProof/>
                <w:webHidden/>
              </w:rPr>
              <w:fldChar w:fldCharType="separate"/>
            </w:r>
            <w:r>
              <w:rPr>
                <w:noProof/>
                <w:webHidden/>
              </w:rPr>
              <w:t>10</w:t>
            </w:r>
            <w:r w:rsidR="00820D83">
              <w:rPr>
                <w:noProof/>
                <w:webHidden/>
              </w:rPr>
              <w:fldChar w:fldCharType="end"/>
            </w:r>
          </w:hyperlink>
        </w:p>
        <w:p w14:paraId="15C94F8E" w14:textId="7E4625CB" w:rsidR="00820D83" w:rsidRDefault="00725FCF">
          <w:pPr>
            <w:pStyle w:val="TOC1"/>
            <w:tabs>
              <w:tab w:val="right" w:leader="dot" w:pos="9350"/>
            </w:tabs>
            <w:rPr>
              <w:rFonts w:eastAsiaTheme="minorEastAsia"/>
              <w:noProof/>
              <w:sz w:val="22"/>
            </w:rPr>
          </w:pPr>
          <w:hyperlink w:anchor="_Toc507592277" w:history="1">
            <w:r w:rsidR="00820D83" w:rsidRPr="00BB3480">
              <w:rPr>
                <w:rStyle w:val="Hyperlink"/>
                <w:noProof/>
              </w:rPr>
              <w:t>Risks to Revenue Budget</w:t>
            </w:r>
            <w:r w:rsidR="00820D83">
              <w:rPr>
                <w:noProof/>
                <w:webHidden/>
              </w:rPr>
              <w:tab/>
            </w:r>
            <w:r w:rsidR="00820D83">
              <w:rPr>
                <w:noProof/>
                <w:webHidden/>
              </w:rPr>
              <w:fldChar w:fldCharType="begin"/>
            </w:r>
            <w:r w:rsidR="00820D83">
              <w:rPr>
                <w:noProof/>
                <w:webHidden/>
              </w:rPr>
              <w:instrText xml:space="preserve"> PAGEREF _Toc507592277 \h </w:instrText>
            </w:r>
            <w:r w:rsidR="00820D83">
              <w:rPr>
                <w:noProof/>
                <w:webHidden/>
              </w:rPr>
            </w:r>
            <w:r w:rsidR="00820D83">
              <w:rPr>
                <w:noProof/>
                <w:webHidden/>
              </w:rPr>
              <w:fldChar w:fldCharType="separate"/>
            </w:r>
            <w:r>
              <w:rPr>
                <w:noProof/>
                <w:webHidden/>
              </w:rPr>
              <w:t>11</w:t>
            </w:r>
            <w:r w:rsidR="00820D83">
              <w:rPr>
                <w:noProof/>
                <w:webHidden/>
              </w:rPr>
              <w:fldChar w:fldCharType="end"/>
            </w:r>
          </w:hyperlink>
        </w:p>
        <w:p w14:paraId="66FDACB6" w14:textId="75C721D0" w:rsidR="00820D83" w:rsidRDefault="00725FCF">
          <w:pPr>
            <w:pStyle w:val="TOC2"/>
            <w:tabs>
              <w:tab w:val="right" w:leader="dot" w:pos="9350"/>
            </w:tabs>
            <w:rPr>
              <w:rFonts w:eastAsiaTheme="minorEastAsia"/>
              <w:noProof/>
              <w:sz w:val="22"/>
            </w:rPr>
          </w:pPr>
          <w:hyperlink w:anchor="_Toc507592278" w:history="1">
            <w:r w:rsidR="00820D83" w:rsidRPr="00BB3480">
              <w:rPr>
                <w:rStyle w:val="Hyperlink"/>
                <w:noProof/>
              </w:rPr>
              <w:t>Risks to the Economic Forecast</w:t>
            </w:r>
            <w:r w:rsidR="00820D83">
              <w:rPr>
                <w:noProof/>
                <w:webHidden/>
              </w:rPr>
              <w:tab/>
            </w:r>
            <w:r w:rsidR="00820D83">
              <w:rPr>
                <w:noProof/>
                <w:webHidden/>
              </w:rPr>
              <w:fldChar w:fldCharType="begin"/>
            </w:r>
            <w:r w:rsidR="00820D83">
              <w:rPr>
                <w:noProof/>
                <w:webHidden/>
              </w:rPr>
              <w:instrText xml:space="preserve"> PAGEREF _Toc507592278 \h </w:instrText>
            </w:r>
            <w:r w:rsidR="00820D83">
              <w:rPr>
                <w:noProof/>
                <w:webHidden/>
              </w:rPr>
            </w:r>
            <w:r w:rsidR="00820D83">
              <w:rPr>
                <w:noProof/>
                <w:webHidden/>
              </w:rPr>
              <w:fldChar w:fldCharType="separate"/>
            </w:r>
            <w:r>
              <w:rPr>
                <w:noProof/>
                <w:webHidden/>
              </w:rPr>
              <w:t>11</w:t>
            </w:r>
            <w:r w:rsidR="00820D83">
              <w:rPr>
                <w:noProof/>
                <w:webHidden/>
              </w:rPr>
              <w:fldChar w:fldCharType="end"/>
            </w:r>
          </w:hyperlink>
        </w:p>
        <w:p w14:paraId="2CD7AFD0" w14:textId="2461D81F" w:rsidR="00820D83" w:rsidRDefault="00725FCF">
          <w:pPr>
            <w:pStyle w:val="TOC2"/>
            <w:tabs>
              <w:tab w:val="right" w:leader="dot" w:pos="9350"/>
            </w:tabs>
            <w:rPr>
              <w:rFonts w:eastAsiaTheme="minorEastAsia"/>
              <w:noProof/>
              <w:sz w:val="22"/>
            </w:rPr>
          </w:pPr>
          <w:hyperlink w:anchor="_Toc507592279" w:history="1">
            <w:r w:rsidR="00820D83" w:rsidRPr="00BB3480">
              <w:rPr>
                <w:rStyle w:val="Hyperlink"/>
                <w:noProof/>
              </w:rPr>
              <w:t>Risks to Revenue Forecast</w:t>
            </w:r>
            <w:r w:rsidR="00820D83">
              <w:rPr>
                <w:noProof/>
                <w:webHidden/>
              </w:rPr>
              <w:tab/>
            </w:r>
            <w:r w:rsidR="00820D83">
              <w:rPr>
                <w:noProof/>
                <w:webHidden/>
              </w:rPr>
              <w:fldChar w:fldCharType="begin"/>
            </w:r>
            <w:r w:rsidR="00820D83">
              <w:rPr>
                <w:noProof/>
                <w:webHidden/>
              </w:rPr>
              <w:instrText xml:space="preserve"> PAGEREF _Toc507592279 \h </w:instrText>
            </w:r>
            <w:r w:rsidR="00820D83">
              <w:rPr>
                <w:noProof/>
                <w:webHidden/>
              </w:rPr>
            </w:r>
            <w:r w:rsidR="00820D83">
              <w:rPr>
                <w:noProof/>
                <w:webHidden/>
              </w:rPr>
              <w:fldChar w:fldCharType="separate"/>
            </w:r>
            <w:r>
              <w:rPr>
                <w:noProof/>
                <w:webHidden/>
              </w:rPr>
              <w:t>12</w:t>
            </w:r>
            <w:r w:rsidR="00820D83">
              <w:rPr>
                <w:noProof/>
                <w:webHidden/>
              </w:rPr>
              <w:fldChar w:fldCharType="end"/>
            </w:r>
          </w:hyperlink>
        </w:p>
        <w:p w14:paraId="69809567" w14:textId="7C460C7F" w:rsidR="00820D83" w:rsidRDefault="00725FCF">
          <w:pPr>
            <w:pStyle w:val="TOC2"/>
            <w:tabs>
              <w:tab w:val="right" w:leader="dot" w:pos="9350"/>
            </w:tabs>
            <w:rPr>
              <w:rFonts w:eastAsiaTheme="minorEastAsia"/>
              <w:noProof/>
              <w:sz w:val="22"/>
            </w:rPr>
          </w:pPr>
          <w:hyperlink w:anchor="_Toc507592280" w:history="1">
            <w:r w:rsidR="00820D83" w:rsidRPr="00BB3480">
              <w:rPr>
                <w:rStyle w:val="Hyperlink"/>
                <w:noProof/>
              </w:rPr>
              <w:t>Policy Risks</w:t>
            </w:r>
            <w:r w:rsidR="00820D83">
              <w:rPr>
                <w:noProof/>
                <w:webHidden/>
              </w:rPr>
              <w:tab/>
            </w:r>
            <w:r w:rsidR="00820D83">
              <w:rPr>
                <w:noProof/>
                <w:webHidden/>
              </w:rPr>
              <w:fldChar w:fldCharType="begin"/>
            </w:r>
            <w:r w:rsidR="00820D83">
              <w:rPr>
                <w:noProof/>
                <w:webHidden/>
              </w:rPr>
              <w:instrText xml:space="preserve"> PAGEREF _Toc507592280 \h </w:instrText>
            </w:r>
            <w:r w:rsidR="00820D83">
              <w:rPr>
                <w:noProof/>
                <w:webHidden/>
              </w:rPr>
            </w:r>
            <w:r w:rsidR="00820D83">
              <w:rPr>
                <w:noProof/>
                <w:webHidden/>
              </w:rPr>
              <w:fldChar w:fldCharType="separate"/>
            </w:r>
            <w:r>
              <w:rPr>
                <w:noProof/>
                <w:webHidden/>
              </w:rPr>
              <w:t>12</w:t>
            </w:r>
            <w:r w:rsidR="00820D83">
              <w:rPr>
                <w:noProof/>
                <w:webHidden/>
              </w:rPr>
              <w:fldChar w:fldCharType="end"/>
            </w:r>
          </w:hyperlink>
        </w:p>
        <w:p w14:paraId="04F07E44" w14:textId="743875D1" w:rsidR="00820D83" w:rsidRDefault="00725FCF">
          <w:pPr>
            <w:pStyle w:val="TOC3"/>
            <w:tabs>
              <w:tab w:val="right" w:leader="dot" w:pos="9350"/>
            </w:tabs>
            <w:rPr>
              <w:rFonts w:eastAsiaTheme="minorEastAsia"/>
              <w:noProof/>
              <w:sz w:val="22"/>
            </w:rPr>
          </w:pPr>
          <w:hyperlink w:anchor="_Toc507592281" w:history="1">
            <w:r w:rsidR="00820D83" w:rsidRPr="00BB3480">
              <w:rPr>
                <w:rStyle w:val="Hyperlink"/>
                <w:noProof/>
              </w:rPr>
              <w:t>New York State</w:t>
            </w:r>
            <w:r w:rsidR="00820D83">
              <w:rPr>
                <w:noProof/>
                <w:webHidden/>
              </w:rPr>
              <w:tab/>
            </w:r>
            <w:r w:rsidR="00820D83">
              <w:rPr>
                <w:noProof/>
                <w:webHidden/>
              </w:rPr>
              <w:fldChar w:fldCharType="begin"/>
            </w:r>
            <w:r w:rsidR="00820D83">
              <w:rPr>
                <w:noProof/>
                <w:webHidden/>
              </w:rPr>
              <w:instrText xml:space="preserve"> PAGEREF _Toc507592281 \h </w:instrText>
            </w:r>
            <w:r w:rsidR="00820D83">
              <w:rPr>
                <w:noProof/>
                <w:webHidden/>
              </w:rPr>
            </w:r>
            <w:r w:rsidR="00820D83">
              <w:rPr>
                <w:noProof/>
                <w:webHidden/>
              </w:rPr>
              <w:fldChar w:fldCharType="separate"/>
            </w:r>
            <w:r>
              <w:rPr>
                <w:noProof/>
                <w:webHidden/>
              </w:rPr>
              <w:t>12</w:t>
            </w:r>
            <w:r w:rsidR="00820D83">
              <w:rPr>
                <w:noProof/>
                <w:webHidden/>
              </w:rPr>
              <w:fldChar w:fldCharType="end"/>
            </w:r>
          </w:hyperlink>
        </w:p>
        <w:p w14:paraId="1928B51F" w14:textId="4568E90D" w:rsidR="00820D83" w:rsidRDefault="00725FCF">
          <w:pPr>
            <w:pStyle w:val="TOC3"/>
            <w:tabs>
              <w:tab w:val="right" w:leader="dot" w:pos="9350"/>
            </w:tabs>
            <w:rPr>
              <w:rFonts w:eastAsiaTheme="minorEastAsia"/>
              <w:noProof/>
              <w:sz w:val="22"/>
            </w:rPr>
          </w:pPr>
          <w:hyperlink w:anchor="_Toc507592282" w:history="1">
            <w:r w:rsidR="00820D83" w:rsidRPr="00BB3480">
              <w:rPr>
                <w:rStyle w:val="Hyperlink"/>
                <w:noProof/>
              </w:rPr>
              <w:t>Federal Government</w:t>
            </w:r>
            <w:r w:rsidR="00820D83">
              <w:rPr>
                <w:noProof/>
                <w:webHidden/>
              </w:rPr>
              <w:tab/>
            </w:r>
            <w:r w:rsidR="00820D83">
              <w:rPr>
                <w:noProof/>
                <w:webHidden/>
              </w:rPr>
              <w:fldChar w:fldCharType="begin"/>
            </w:r>
            <w:r w:rsidR="00820D83">
              <w:rPr>
                <w:noProof/>
                <w:webHidden/>
              </w:rPr>
              <w:instrText xml:space="preserve"> PAGEREF _Toc507592282 \h </w:instrText>
            </w:r>
            <w:r w:rsidR="00820D83">
              <w:rPr>
                <w:noProof/>
                <w:webHidden/>
              </w:rPr>
            </w:r>
            <w:r w:rsidR="00820D83">
              <w:rPr>
                <w:noProof/>
                <w:webHidden/>
              </w:rPr>
              <w:fldChar w:fldCharType="separate"/>
            </w:r>
            <w:r>
              <w:rPr>
                <w:noProof/>
                <w:webHidden/>
              </w:rPr>
              <w:t>12</w:t>
            </w:r>
            <w:r w:rsidR="00820D83">
              <w:rPr>
                <w:noProof/>
                <w:webHidden/>
              </w:rPr>
              <w:fldChar w:fldCharType="end"/>
            </w:r>
          </w:hyperlink>
        </w:p>
        <w:p w14:paraId="49B92580" w14:textId="6D848398" w:rsidR="00820D83" w:rsidRDefault="00725FCF">
          <w:pPr>
            <w:pStyle w:val="TOC1"/>
            <w:tabs>
              <w:tab w:val="right" w:leader="dot" w:pos="9350"/>
            </w:tabs>
            <w:rPr>
              <w:rFonts w:eastAsiaTheme="minorEastAsia"/>
              <w:noProof/>
              <w:sz w:val="22"/>
            </w:rPr>
          </w:pPr>
          <w:hyperlink w:anchor="_Toc507592283" w:history="1">
            <w:r w:rsidR="00820D83" w:rsidRPr="00BB3480">
              <w:rPr>
                <w:rStyle w:val="Hyperlink"/>
                <w:noProof/>
              </w:rPr>
              <w:t>Appendices</w:t>
            </w:r>
            <w:r w:rsidR="00820D83">
              <w:rPr>
                <w:noProof/>
                <w:webHidden/>
              </w:rPr>
              <w:tab/>
            </w:r>
            <w:r w:rsidR="00820D83">
              <w:rPr>
                <w:noProof/>
                <w:webHidden/>
              </w:rPr>
              <w:fldChar w:fldCharType="begin"/>
            </w:r>
            <w:r w:rsidR="00820D83">
              <w:rPr>
                <w:noProof/>
                <w:webHidden/>
              </w:rPr>
              <w:instrText xml:space="preserve"> PAGEREF _Toc507592283 \h </w:instrText>
            </w:r>
            <w:r w:rsidR="00820D83">
              <w:rPr>
                <w:noProof/>
                <w:webHidden/>
              </w:rPr>
            </w:r>
            <w:r w:rsidR="00820D83">
              <w:rPr>
                <w:noProof/>
                <w:webHidden/>
              </w:rPr>
              <w:fldChar w:fldCharType="separate"/>
            </w:r>
            <w:r>
              <w:rPr>
                <w:noProof/>
                <w:webHidden/>
              </w:rPr>
              <w:t>14</w:t>
            </w:r>
            <w:r w:rsidR="00820D83">
              <w:rPr>
                <w:noProof/>
                <w:webHidden/>
              </w:rPr>
              <w:fldChar w:fldCharType="end"/>
            </w:r>
          </w:hyperlink>
        </w:p>
        <w:p w14:paraId="5EE08507" w14:textId="50D63B8B" w:rsidR="00820D83" w:rsidRDefault="00725FCF">
          <w:pPr>
            <w:pStyle w:val="TOC2"/>
            <w:tabs>
              <w:tab w:val="right" w:leader="dot" w:pos="9350"/>
            </w:tabs>
            <w:rPr>
              <w:rFonts w:eastAsiaTheme="minorEastAsia"/>
              <w:noProof/>
              <w:sz w:val="22"/>
            </w:rPr>
          </w:pPr>
          <w:hyperlink w:anchor="_Toc507592284" w:history="1">
            <w:r w:rsidR="00820D83" w:rsidRPr="00BB3480">
              <w:rPr>
                <w:rStyle w:val="Hyperlink"/>
                <w:noProof/>
              </w:rPr>
              <w:t>Tax Revenue Levels</w:t>
            </w:r>
            <w:r w:rsidR="00820D83">
              <w:rPr>
                <w:noProof/>
                <w:webHidden/>
              </w:rPr>
              <w:tab/>
            </w:r>
            <w:r w:rsidR="00820D83">
              <w:rPr>
                <w:noProof/>
                <w:webHidden/>
              </w:rPr>
              <w:fldChar w:fldCharType="begin"/>
            </w:r>
            <w:r w:rsidR="00820D83">
              <w:rPr>
                <w:noProof/>
                <w:webHidden/>
              </w:rPr>
              <w:instrText xml:space="preserve"> PAGEREF _Toc507592284 \h </w:instrText>
            </w:r>
            <w:r w:rsidR="00820D83">
              <w:rPr>
                <w:noProof/>
                <w:webHidden/>
              </w:rPr>
            </w:r>
            <w:r w:rsidR="00820D83">
              <w:rPr>
                <w:noProof/>
                <w:webHidden/>
              </w:rPr>
              <w:fldChar w:fldCharType="separate"/>
            </w:r>
            <w:r>
              <w:rPr>
                <w:noProof/>
                <w:webHidden/>
              </w:rPr>
              <w:t>14</w:t>
            </w:r>
            <w:r w:rsidR="00820D83">
              <w:rPr>
                <w:noProof/>
                <w:webHidden/>
              </w:rPr>
              <w:fldChar w:fldCharType="end"/>
            </w:r>
          </w:hyperlink>
        </w:p>
        <w:p w14:paraId="665C3C1A" w14:textId="1B40F130" w:rsidR="00820D83" w:rsidRDefault="00725FCF">
          <w:pPr>
            <w:pStyle w:val="TOC2"/>
            <w:tabs>
              <w:tab w:val="right" w:leader="dot" w:pos="9350"/>
            </w:tabs>
            <w:rPr>
              <w:rFonts w:eastAsiaTheme="minorEastAsia"/>
              <w:noProof/>
              <w:sz w:val="22"/>
            </w:rPr>
          </w:pPr>
          <w:hyperlink w:anchor="_Toc507592285" w:history="1">
            <w:r w:rsidR="00820D83" w:rsidRPr="00BB3480">
              <w:rPr>
                <w:rStyle w:val="Hyperlink"/>
                <w:rFonts w:eastAsia="Cambria"/>
                <w:noProof/>
              </w:rPr>
              <w:t>Revenue Plan</w:t>
            </w:r>
            <w:r w:rsidR="00820D83">
              <w:rPr>
                <w:noProof/>
                <w:webHidden/>
              </w:rPr>
              <w:tab/>
            </w:r>
            <w:r w:rsidR="00820D83">
              <w:rPr>
                <w:noProof/>
                <w:webHidden/>
              </w:rPr>
              <w:fldChar w:fldCharType="begin"/>
            </w:r>
            <w:r w:rsidR="00820D83">
              <w:rPr>
                <w:noProof/>
                <w:webHidden/>
              </w:rPr>
              <w:instrText xml:space="preserve"> PAGEREF _Toc507592285 \h </w:instrText>
            </w:r>
            <w:r w:rsidR="00820D83">
              <w:rPr>
                <w:noProof/>
                <w:webHidden/>
              </w:rPr>
            </w:r>
            <w:r w:rsidR="00820D83">
              <w:rPr>
                <w:noProof/>
                <w:webHidden/>
              </w:rPr>
              <w:fldChar w:fldCharType="separate"/>
            </w:r>
            <w:r>
              <w:rPr>
                <w:noProof/>
                <w:webHidden/>
              </w:rPr>
              <w:t>15</w:t>
            </w:r>
            <w:r w:rsidR="00820D83">
              <w:rPr>
                <w:noProof/>
                <w:webHidden/>
              </w:rPr>
              <w:fldChar w:fldCharType="end"/>
            </w:r>
          </w:hyperlink>
        </w:p>
        <w:p w14:paraId="7B7A941F" w14:textId="0C235012" w:rsidR="00820D83" w:rsidRDefault="00725FCF">
          <w:pPr>
            <w:pStyle w:val="TOC2"/>
            <w:tabs>
              <w:tab w:val="right" w:leader="dot" w:pos="9350"/>
            </w:tabs>
            <w:rPr>
              <w:rFonts w:eastAsiaTheme="minorEastAsia"/>
              <w:noProof/>
              <w:sz w:val="22"/>
            </w:rPr>
          </w:pPr>
          <w:hyperlink w:anchor="_Toc507592286" w:history="1">
            <w:r w:rsidR="00820D83" w:rsidRPr="00BB3480">
              <w:rPr>
                <w:rStyle w:val="Hyperlink"/>
                <w:rFonts w:eastAsia="Cambria"/>
                <w:noProof/>
              </w:rPr>
              <w:t>Revenue Plan Changes</w:t>
            </w:r>
            <w:r w:rsidR="00820D83">
              <w:rPr>
                <w:noProof/>
                <w:webHidden/>
              </w:rPr>
              <w:tab/>
            </w:r>
            <w:r w:rsidR="00820D83">
              <w:rPr>
                <w:noProof/>
                <w:webHidden/>
              </w:rPr>
              <w:fldChar w:fldCharType="begin"/>
            </w:r>
            <w:r w:rsidR="00820D83">
              <w:rPr>
                <w:noProof/>
                <w:webHidden/>
              </w:rPr>
              <w:instrText xml:space="preserve"> PAGEREF _Toc507592286 \h </w:instrText>
            </w:r>
            <w:r w:rsidR="00820D83">
              <w:rPr>
                <w:noProof/>
                <w:webHidden/>
              </w:rPr>
            </w:r>
            <w:r w:rsidR="00820D83">
              <w:rPr>
                <w:noProof/>
                <w:webHidden/>
              </w:rPr>
              <w:fldChar w:fldCharType="separate"/>
            </w:r>
            <w:r>
              <w:rPr>
                <w:noProof/>
                <w:webHidden/>
              </w:rPr>
              <w:t>16</w:t>
            </w:r>
            <w:r w:rsidR="00820D83">
              <w:rPr>
                <w:noProof/>
                <w:webHidden/>
              </w:rPr>
              <w:fldChar w:fldCharType="end"/>
            </w:r>
          </w:hyperlink>
        </w:p>
        <w:p w14:paraId="6F2D2108" w14:textId="00D9D222" w:rsidR="00732D5B" w:rsidRDefault="00732D5B">
          <w:r>
            <w:rPr>
              <w:b/>
              <w:bCs/>
              <w:noProof/>
            </w:rPr>
            <w:fldChar w:fldCharType="end"/>
          </w:r>
        </w:p>
      </w:sdtContent>
    </w:sdt>
    <w:p w14:paraId="0C6FFDE3" w14:textId="3E65FE33" w:rsidR="00552664" w:rsidRDefault="00552664" w:rsidP="00E62A0B"/>
    <w:p w14:paraId="20067D0D" w14:textId="77777777" w:rsidR="0015644E" w:rsidRDefault="0015644E">
      <w:pPr>
        <w:sectPr w:rsidR="0015644E" w:rsidSect="0015644E">
          <w:headerReference w:type="default" r:id="rId10"/>
          <w:pgSz w:w="12240" w:h="15840"/>
          <w:pgMar w:top="1152" w:right="1440" w:bottom="1440" w:left="1440" w:header="720" w:footer="720" w:gutter="0"/>
          <w:cols w:space="720"/>
          <w:docGrid w:linePitch="360"/>
        </w:sectPr>
      </w:pPr>
    </w:p>
    <w:p w14:paraId="7B4CF1DA" w14:textId="77777777" w:rsidR="0015644E" w:rsidRPr="005F633F" w:rsidRDefault="0015644E" w:rsidP="00E62A0B">
      <w:pPr>
        <w:pStyle w:val="Heading1"/>
      </w:pPr>
      <w:bookmarkStart w:id="1" w:name="_Toc507592262"/>
      <w:r w:rsidRPr="005F633F">
        <w:lastRenderedPageBreak/>
        <w:t>Overview of the Report</w:t>
      </w:r>
      <w:bookmarkEnd w:id="1"/>
    </w:p>
    <w:p w14:paraId="51E744E9" w14:textId="4414643A" w:rsidR="0015644E" w:rsidRPr="00552664" w:rsidRDefault="0015644E" w:rsidP="0015644E">
      <w:r>
        <w:t>On March 5, 2018, the New York City Council’s Finance Committee will hold the first hearing on the Fiscal 2019 Preliminary Budget (the Budget), released on February 1, 2018, with the Mayor’s Office of Management and Budget (OMB). This report, one of t</w:t>
      </w:r>
      <w:r w:rsidR="00A07960">
        <w:t>wo</w:t>
      </w:r>
      <w:r>
        <w:t xml:space="preserve"> prepared for this hearing, discusses the City Council Finance Division’s economic and tax revenue forecast.  It also provides a quick snapshot of the City’s economy and the revenue budget. The other report will focus on the overall budget and the Preliminary Mayor’s Management Report with an emphasis on the expense budget. </w:t>
      </w:r>
      <w:r w:rsidR="00A07960">
        <w:t xml:space="preserve">The capital plan will be addressed in later hearing held jointly with the Subcommittee on Capital. </w:t>
      </w:r>
      <w:r>
        <w:t xml:space="preserve"> T</w:t>
      </w:r>
      <w:r w:rsidR="00A07960">
        <w:t>oday, t</w:t>
      </w:r>
      <w:r>
        <w:t xml:space="preserve">he Finance Division will also release a Revenue Note on Optimal Reserves along with the reports prepared for the hearing. </w:t>
      </w:r>
    </w:p>
    <w:p w14:paraId="115692F8" w14:textId="18334166" w:rsidR="00636828" w:rsidRPr="005F633F" w:rsidRDefault="00636828" w:rsidP="00F2473E">
      <w:pPr>
        <w:pStyle w:val="Heading1"/>
      </w:pPr>
      <w:bookmarkStart w:id="2" w:name="_Toc507592263"/>
      <w:r w:rsidRPr="005F633F">
        <w:t>Economic Forecast</w:t>
      </w:r>
      <w:bookmarkEnd w:id="2"/>
    </w:p>
    <w:p w14:paraId="322B03BC" w14:textId="6600557C" w:rsidR="0022044A" w:rsidRPr="00E62A0B" w:rsidRDefault="0022044A" w:rsidP="00F2473E">
      <w:pPr>
        <w:pStyle w:val="Heading2"/>
        <w:rPr>
          <w:sz w:val="26"/>
        </w:rPr>
      </w:pPr>
      <w:bookmarkStart w:id="3" w:name="_Toc507592264"/>
      <w:r w:rsidRPr="00E62A0B">
        <w:rPr>
          <w:sz w:val="26"/>
        </w:rPr>
        <w:t>National Economy</w:t>
      </w:r>
      <w:bookmarkEnd w:id="3"/>
      <w:r w:rsidRPr="00E62A0B">
        <w:rPr>
          <w:sz w:val="26"/>
        </w:rPr>
        <w:t xml:space="preserve"> </w:t>
      </w:r>
    </w:p>
    <w:p w14:paraId="373B19C4" w14:textId="5D55D64B" w:rsidR="00D218CC" w:rsidRPr="002871AC" w:rsidRDefault="003159FE" w:rsidP="00E62A0B">
      <w:pPr>
        <w:spacing w:after="120"/>
        <w:rPr>
          <w:rFonts w:cs="Times New Roman"/>
        </w:rPr>
      </w:pPr>
      <w:r w:rsidRPr="002871AC">
        <w:t>The Finance Division estimates that, in the coming year</w:t>
      </w:r>
      <w:r w:rsidR="00673163" w:rsidRPr="002871AC">
        <w:t>s</w:t>
      </w:r>
      <w:r w:rsidRPr="002871AC">
        <w:t>,</w:t>
      </w:r>
      <w:r w:rsidR="006C51A7" w:rsidRPr="002871AC">
        <w:t xml:space="preserve"> the</w:t>
      </w:r>
      <w:r w:rsidRPr="002871AC">
        <w:t xml:space="preserve"> United States</w:t>
      </w:r>
      <w:r w:rsidR="006C51A7" w:rsidRPr="002871AC">
        <w:t xml:space="preserve"> economy will feel both the stimulus from the </w:t>
      </w:r>
      <w:r w:rsidRPr="002871AC">
        <w:t>f</w:t>
      </w:r>
      <w:r w:rsidR="006C51A7" w:rsidRPr="002871AC">
        <w:t>ederal tax cuts</w:t>
      </w:r>
      <w:r w:rsidR="00761F10" w:rsidRPr="002871AC">
        <w:t xml:space="preserve"> enacted in the Tax Cuts and Jobs Act (TCJA) of 2017,</w:t>
      </w:r>
      <w:r w:rsidR="006C51A7" w:rsidRPr="002871AC">
        <w:t xml:space="preserve"> and the drag from saturated labor markets and rising interest rates. Real gross domestic product (GDP) is </w:t>
      </w:r>
      <w:r w:rsidR="000C7C8D" w:rsidRPr="002871AC">
        <w:t>expected</w:t>
      </w:r>
      <w:r w:rsidR="006C51A7" w:rsidRPr="002871AC">
        <w:t xml:space="preserve"> to grow </w:t>
      </w:r>
      <w:r w:rsidR="002D658F" w:rsidRPr="002871AC">
        <w:t xml:space="preserve">by 2.7 percent in both 2018 and 2019, and then </w:t>
      </w:r>
      <w:r w:rsidR="00A23E0C" w:rsidRPr="002871AC">
        <w:t>decelerate</w:t>
      </w:r>
      <w:r w:rsidR="002D658F" w:rsidRPr="002871AC">
        <w:t xml:space="preserve"> to 1.9 percent by 2022.</w:t>
      </w:r>
      <w:r w:rsidR="00A23E0C" w:rsidRPr="002871AC">
        <w:rPr>
          <w:rStyle w:val="FootnoteReference"/>
        </w:rPr>
        <w:footnoteReference w:id="1"/>
      </w:r>
      <w:r w:rsidR="002D658F" w:rsidRPr="002871AC">
        <w:t xml:space="preserve"> </w:t>
      </w:r>
      <w:r w:rsidR="00113F91" w:rsidRPr="002871AC">
        <w:rPr>
          <w:rFonts w:cs="Times New Roman"/>
        </w:rPr>
        <w:t xml:space="preserve">Export growth and physical capital investment have recently been strong </w:t>
      </w:r>
      <w:r w:rsidR="000C7C8D" w:rsidRPr="002871AC">
        <w:rPr>
          <w:rFonts w:cs="Times New Roman"/>
        </w:rPr>
        <w:t xml:space="preserve">economic </w:t>
      </w:r>
      <w:r w:rsidR="00113F91" w:rsidRPr="002871AC">
        <w:rPr>
          <w:rFonts w:cs="Times New Roman"/>
        </w:rPr>
        <w:t>drivers</w:t>
      </w:r>
      <w:r w:rsidR="005323B4" w:rsidRPr="002871AC">
        <w:rPr>
          <w:rFonts w:cs="Times New Roman"/>
        </w:rPr>
        <w:t>,</w:t>
      </w:r>
      <w:r w:rsidR="00113F91" w:rsidRPr="002871AC">
        <w:rPr>
          <w:rFonts w:cs="Times New Roman"/>
        </w:rPr>
        <w:t xml:space="preserve"> </w:t>
      </w:r>
      <w:r w:rsidR="000C7C8D" w:rsidRPr="002871AC">
        <w:rPr>
          <w:rFonts w:cs="Times New Roman"/>
        </w:rPr>
        <w:t>and this</w:t>
      </w:r>
      <w:r w:rsidR="005323B4" w:rsidRPr="002871AC">
        <w:rPr>
          <w:rFonts w:cs="Times New Roman"/>
        </w:rPr>
        <w:t xml:space="preserve"> trend</w:t>
      </w:r>
      <w:r w:rsidR="000C7C8D" w:rsidRPr="002871AC">
        <w:rPr>
          <w:rFonts w:cs="Times New Roman"/>
        </w:rPr>
        <w:t xml:space="preserve"> </w:t>
      </w:r>
      <w:r w:rsidR="00556F79" w:rsidRPr="002871AC">
        <w:rPr>
          <w:rFonts w:cs="Times New Roman"/>
        </w:rPr>
        <w:t>is expected to continue.</w:t>
      </w:r>
      <w:r w:rsidR="00113F91" w:rsidRPr="002871AC">
        <w:rPr>
          <w:rStyle w:val="FootnoteReference"/>
          <w:rFonts w:cs="Times New Roman"/>
        </w:rPr>
        <w:footnoteReference w:id="2"/>
      </w:r>
      <w:r w:rsidR="00113F91" w:rsidRPr="002871AC">
        <w:rPr>
          <w:rFonts w:cs="Times New Roman"/>
        </w:rPr>
        <w:t xml:space="preserve"> Global demand is finally increasing and the dollar</w:t>
      </w:r>
      <w:r w:rsidR="00B413A5" w:rsidRPr="002871AC">
        <w:rPr>
          <w:rFonts w:cs="Times New Roman"/>
        </w:rPr>
        <w:t xml:space="preserve"> is</w:t>
      </w:r>
      <w:r w:rsidR="00113F91" w:rsidRPr="002871AC">
        <w:rPr>
          <w:rFonts w:cs="Times New Roman"/>
        </w:rPr>
        <w:t xml:space="preserve"> falling, leading to growth in US exports</w:t>
      </w:r>
      <w:r w:rsidR="00D218CC" w:rsidRPr="002871AC">
        <w:rPr>
          <w:rFonts w:cs="Times New Roman"/>
        </w:rPr>
        <w:t xml:space="preserve">. </w:t>
      </w:r>
    </w:p>
    <w:p w14:paraId="0CC213FF" w14:textId="206EB3F7" w:rsidR="00C906A7" w:rsidRPr="002871AC" w:rsidRDefault="0021479D" w:rsidP="00E62A0B">
      <w:pPr>
        <w:spacing w:after="120"/>
      </w:pPr>
      <w:r w:rsidRPr="002871AC">
        <w:t xml:space="preserve">The </w:t>
      </w:r>
      <w:r w:rsidRPr="002871AC">
        <w:rPr>
          <w:b/>
        </w:rPr>
        <w:t xml:space="preserve">labor market is strong, but growing slowly. </w:t>
      </w:r>
      <w:r w:rsidR="005323B4" w:rsidRPr="002871AC">
        <w:t>Due to a tightening labor market, g</w:t>
      </w:r>
      <w:r w:rsidR="00143C0E" w:rsidRPr="002871AC">
        <w:t>rowth in payroll employment will continue to slow from 1.</w:t>
      </w:r>
      <w:r w:rsidR="006C51A7" w:rsidRPr="002871AC">
        <w:t>8</w:t>
      </w:r>
      <w:r w:rsidR="00143C0E" w:rsidRPr="002871AC">
        <w:t xml:space="preserve"> percent in 2018 to only 0.5 percent by 2022.</w:t>
      </w:r>
      <w:r w:rsidR="005323B4" w:rsidRPr="002871AC">
        <w:rPr>
          <w:rStyle w:val="FootnoteReference"/>
        </w:rPr>
        <w:footnoteReference w:id="3"/>
      </w:r>
      <w:r w:rsidR="00143C0E" w:rsidRPr="002871AC">
        <w:t xml:space="preserve"> </w:t>
      </w:r>
      <w:r w:rsidR="00D07758" w:rsidRPr="002871AC">
        <w:t>For the same reason, t</w:t>
      </w:r>
      <w:r w:rsidR="00A23E0C" w:rsidRPr="002871AC">
        <w:t xml:space="preserve">he unemployment rate </w:t>
      </w:r>
      <w:r w:rsidR="000C7C8D" w:rsidRPr="002871AC">
        <w:t>will continue to fall</w:t>
      </w:r>
      <w:r w:rsidR="005323B4" w:rsidRPr="002871AC">
        <w:t>, eventually</w:t>
      </w:r>
      <w:r w:rsidR="000C7C8D" w:rsidRPr="002871AC">
        <w:t xml:space="preserve"> </w:t>
      </w:r>
      <w:r w:rsidR="00143C0E" w:rsidRPr="002871AC">
        <w:t>bottom</w:t>
      </w:r>
      <w:r w:rsidR="005323B4" w:rsidRPr="002871AC">
        <w:t>ing</w:t>
      </w:r>
      <w:r w:rsidR="000C7C8D" w:rsidRPr="002871AC">
        <w:t xml:space="preserve"> </w:t>
      </w:r>
      <w:r w:rsidR="00143C0E" w:rsidRPr="002871AC">
        <w:t>out at 3.6 percent in 2019.</w:t>
      </w:r>
      <w:r w:rsidR="005323B4" w:rsidRPr="002871AC">
        <w:rPr>
          <w:rStyle w:val="FootnoteReference"/>
        </w:rPr>
        <w:footnoteReference w:id="4"/>
      </w:r>
      <w:r w:rsidR="00143C0E" w:rsidRPr="002871AC">
        <w:t xml:space="preserve"> </w:t>
      </w:r>
      <w:r w:rsidR="00D218CC" w:rsidRPr="002871AC">
        <w:t xml:space="preserve">Average wage growth is finally </w:t>
      </w:r>
      <w:r w:rsidR="000C7C8D" w:rsidRPr="002871AC">
        <w:t>gaining</w:t>
      </w:r>
      <w:r w:rsidR="00D218CC" w:rsidRPr="002871AC">
        <w:t xml:space="preserve"> traction, having grown 2.9 percent year-over-year</w:t>
      </w:r>
      <w:r w:rsidR="00102C7F" w:rsidRPr="002871AC">
        <w:t xml:space="preserve"> as of January 2018</w:t>
      </w:r>
      <w:r w:rsidRPr="002871AC">
        <w:t>,</w:t>
      </w:r>
      <w:r w:rsidR="00D218CC" w:rsidRPr="002871AC">
        <w:rPr>
          <w:rStyle w:val="FootnoteReference"/>
        </w:rPr>
        <w:footnoteReference w:id="5"/>
      </w:r>
      <w:r w:rsidRPr="002871AC">
        <w:t xml:space="preserve"> and</w:t>
      </w:r>
      <w:r w:rsidR="00D218CC" w:rsidRPr="002871AC">
        <w:t xml:space="preserve"> </w:t>
      </w:r>
      <w:r w:rsidR="00143C0E" w:rsidRPr="002871AC">
        <w:t>will begin to rise in 2021.</w:t>
      </w:r>
      <w:r w:rsidR="005323B4" w:rsidRPr="002871AC">
        <w:rPr>
          <w:rStyle w:val="FootnoteReference"/>
        </w:rPr>
        <w:footnoteReference w:id="6"/>
      </w:r>
    </w:p>
    <w:p w14:paraId="71583F34" w14:textId="36D766DA" w:rsidR="0022044A" w:rsidRPr="002871AC" w:rsidRDefault="00304368" w:rsidP="00E62A0B">
      <w:pPr>
        <w:spacing w:after="120"/>
      </w:pPr>
      <w:r w:rsidRPr="002871AC">
        <w:t>IHS forecast</w:t>
      </w:r>
      <w:r w:rsidR="0012737C" w:rsidRPr="002871AC">
        <w:t>s</w:t>
      </w:r>
      <w:r w:rsidRPr="002871AC">
        <w:t xml:space="preserve"> that </w:t>
      </w:r>
      <w:r w:rsidR="0012737C" w:rsidRPr="002871AC">
        <w:t xml:space="preserve">stronger growth and higher inflation will prompt </w:t>
      </w:r>
      <w:r w:rsidRPr="002871AC">
        <w:rPr>
          <w:b/>
        </w:rPr>
        <w:t xml:space="preserve">the Federal Reserve </w:t>
      </w:r>
      <w:r w:rsidR="0012737C" w:rsidRPr="002871AC">
        <w:rPr>
          <w:b/>
        </w:rPr>
        <w:t>to</w:t>
      </w:r>
      <w:r w:rsidRPr="002871AC">
        <w:rPr>
          <w:b/>
        </w:rPr>
        <w:t xml:space="preserve"> raise its benchmark rate</w:t>
      </w:r>
      <w:r w:rsidRPr="002871AC">
        <w:t xml:space="preserve"> </w:t>
      </w:r>
      <w:r w:rsidR="00673163" w:rsidRPr="002871AC">
        <w:t xml:space="preserve">Federal Funds rate </w:t>
      </w:r>
      <w:r w:rsidRPr="002871AC">
        <w:t>four times in 2018</w:t>
      </w:r>
      <w:r w:rsidR="0012737C" w:rsidRPr="002871AC">
        <w:t>.</w:t>
      </w:r>
      <w:r w:rsidR="005323B4" w:rsidRPr="002871AC">
        <w:rPr>
          <w:rStyle w:val="FootnoteReference"/>
        </w:rPr>
        <w:footnoteReference w:id="7"/>
      </w:r>
      <w:r w:rsidR="0012737C" w:rsidRPr="002871AC">
        <w:t xml:space="preserve">  Higher interest rates will dampen economic growth</w:t>
      </w:r>
      <w:r w:rsidR="007322F9" w:rsidRPr="002871AC">
        <w:t>, particularly by 2020.</w:t>
      </w:r>
      <w:r w:rsidR="005323B4" w:rsidRPr="002871AC">
        <w:rPr>
          <w:rStyle w:val="FootnoteReference"/>
        </w:rPr>
        <w:footnoteReference w:id="8"/>
      </w:r>
    </w:p>
    <w:p w14:paraId="617DA746" w14:textId="49AF9B3F" w:rsidR="005E2A22" w:rsidRPr="00E62A0B" w:rsidRDefault="00554A35" w:rsidP="00F2473E">
      <w:pPr>
        <w:pStyle w:val="Heading2"/>
        <w:rPr>
          <w:sz w:val="26"/>
        </w:rPr>
      </w:pPr>
      <w:bookmarkStart w:id="4" w:name="_Toc507592265"/>
      <w:r w:rsidRPr="00E62A0B">
        <w:rPr>
          <w:sz w:val="26"/>
        </w:rPr>
        <w:t>City Economy</w:t>
      </w:r>
      <w:bookmarkEnd w:id="4"/>
      <w:r w:rsidR="0022044A" w:rsidRPr="00E62A0B">
        <w:rPr>
          <w:sz w:val="26"/>
        </w:rPr>
        <w:t xml:space="preserve"> </w:t>
      </w:r>
    </w:p>
    <w:p w14:paraId="2C870C29" w14:textId="5BF9B212" w:rsidR="000E3331" w:rsidRPr="002871AC" w:rsidRDefault="00673163" w:rsidP="00E62A0B">
      <w:pPr>
        <w:spacing w:after="120"/>
      </w:pPr>
      <w:r w:rsidRPr="002871AC">
        <w:t xml:space="preserve">The Finance Division’s November </w:t>
      </w:r>
      <w:r w:rsidR="003F4927" w:rsidRPr="002871AC">
        <w:t>2017 forecast</w:t>
      </w:r>
      <w:r w:rsidR="00554A35" w:rsidRPr="002871AC">
        <w:t xml:space="preserve"> </w:t>
      </w:r>
      <w:r w:rsidR="008414AE" w:rsidRPr="002871AC">
        <w:t xml:space="preserve">painted a picture of </w:t>
      </w:r>
      <w:r w:rsidR="00554A35" w:rsidRPr="002871AC">
        <w:t>a continuous</w:t>
      </w:r>
      <w:r w:rsidR="008414AE" w:rsidRPr="002871AC">
        <w:t>ly</w:t>
      </w:r>
      <w:r w:rsidR="00554A35" w:rsidRPr="002871AC">
        <w:t xml:space="preserve"> slowing City’s economy</w:t>
      </w:r>
      <w:r w:rsidR="008414AE" w:rsidRPr="002871AC">
        <w:t>,</w:t>
      </w:r>
      <w:r w:rsidR="00554A35" w:rsidRPr="002871AC">
        <w:t xml:space="preserve"> </w:t>
      </w:r>
      <w:r w:rsidR="00F66784" w:rsidRPr="002871AC">
        <w:t>due to</w:t>
      </w:r>
      <w:r w:rsidR="00554A35" w:rsidRPr="002871AC">
        <w:t xml:space="preserve"> </w:t>
      </w:r>
      <w:r w:rsidR="008414AE" w:rsidRPr="002871AC">
        <w:t>diminishing</w:t>
      </w:r>
      <w:r w:rsidR="003D0C05" w:rsidRPr="002871AC">
        <w:t xml:space="preserve"> slack in the labor market, </w:t>
      </w:r>
      <w:r w:rsidR="00F62C5E" w:rsidRPr="002871AC">
        <w:t>climbing</w:t>
      </w:r>
      <w:r w:rsidR="003D0C05" w:rsidRPr="002871AC">
        <w:t xml:space="preserve"> housing costs</w:t>
      </w:r>
      <w:r w:rsidR="00953374" w:rsidRPr="002871AC">
        <w:t>,</w:t>
      </w:r>
      <w:r w:rsidR="00542664" w:rsidRPr="002871AC">
        <w:t xml:space="preserve"> and other quality of life challenges</w:t>
      </w:r>
      <w:r w:rsidR="003D0C05" w:rsidRPr="002871AC">
        <w:t>.</w:t>
      </w:r>
      <w:r w:rsidR="008414AE" w:rsidRPr="002871AC">
        <w:t xml:space="preserve"> </w:t>
      </w:r>
      <w:r w:rsidR="00542664" w:rsidRPr="002871AC">
        <w:t xml:space="preserve">The current forecast </w:t>
      </w:r>
      <w:r w:rsidR="004A7C15" w:rsidRPr="002871AC">
        <w:t>hardly</w:t>
      </w:r>
      <w:r w:rsidR="00542664" w:rsidRPr="002871AC">
        <w:t xml:space="preserve"> discount</w:t>
      </w:r>
      <w:r w:rsidR="004A7C15" w:rsidRPr="002871AC">
        <w:t>s</w:t>
      </w:r>
      <w:r w:rsidR="00542664" w:rsidRPr="002871AC">
        <w:t xml:space="preserve"> these bottlenecks to growth, but </w:t>
      </w:r>
      <w:r w:rsidR="00411B78" w:rsidRPr="002871AC">
        <w:t xml:space="preserve">it </w:t>
      </w:r>
      <w:r w:rsidR="00542664" w:rsidRPr="002871AC">
        <w:t xml:space="preserve">acknowledges that the </w:t>
      </w:r>
      <w:r w:rsidR="000805E2" w:rsidRPr="002871AC">
        <w:t xml:space="preserve">TCJA </w:t>
      </w:r>
      <w:r w:rsidR="00542664" w:rsidRPr="002871AC">
        <w:t>is likely to temp</w:t>
      </w:r>
      <w:r w:rsidR="00356DCA" w:rsidRPr="002871AC">
        <w:t>orarily boost the national and C</w:t>
      </w:r>
      <w:r w:rsidR="00542664" w:rsidRPr="002871AC">
        <w:t>ity econom</w:t>
      </w:r>
      <w:r w:rsidR="00356DCA" w:rsidRPr="002871AC">
        <w:t>ies</w:t>
      </w:r>
      <w:r w:rsidR="00411B78" w:rsidRPr="002871AC">
        <w:t xml:space="preserve">. </w:t>
      </w:r>
      <w:r w:rsidR="00411B78" w:rsidRPr="002871AC">
        <w:lastRenderedPageBreak/>
        <w:t>However</w:t>
      </w:r>
      <w:r w:rsidR="001E33C2" w:rsidRPr="002871AC">
        <w:t>, in</w:t>
      </w:r>
      <w:r w:rsidR="00953374" w:rsidRPr="002871AC">
        <w:t xml:space="preserve"> the long-run</w:t>
      </w:r>
      <w:r w:rsidR="00411B78" w:rsidRPr="002871AC">
        <w:t>,</w:t>
      </w:r>
      <w:r w:rsidR="00953374" w:rsidRPr="002871AC">
        <w:t xml:space="preserve"> </w:t>
      </w:r>
      <w:r w:rsidR="00411B78" w:rsidRPr="002871AC">
        <w:t>the TCJA</w:t>
      </w:r>
      <w:r w:rsidR="0021479D" w:rsidRPr="002871AC">
        <w:t xml:space="preserve"> </w:t>
      </w:r>
      <w:r w:rsidR="00953374" w:rsidRPr="002871AC">
        <w:t xml:space="preserve">will spur higher interest rates, </w:t>
      </w:r>
      <w:r w:rsidR="00411B78" w:rsidRPr="002871AC">
        <w:t xml:space="preserve">which will </w:t>
      </w:r>
      <w:r w:rsidR="00953374" w:rsidRPr="002871AC">
        <w:t xml:space="preserve">constrain </w:t>
      </w:r>
      <w:r w:rsidR="00356DCA" w:rsidRPr="002871AC">
        <w:t>investment and economic growth.</w:t>
      </w:r>
      <w:r w:rsidR="00006474" w:rsidRPr="002871AC">
        <w:rPr>
          <w:rStyle w:val="FootnoteReference"/>
        </w:rPr>
        <w:footnoteReference w:id="9"/>
      </w:r>
      <w:r w:rsidR="00F72354" w:rsidRPr="002871AC">
        <w:t xml:space="preserve">  </w:t>
      </w:r>
    </w:p>
    <w:p w14:paraId="008310BE" w14:textId="66DEA70C" w:rsidR="0047701D" w:rsidRDefault="00C906A7" w:rsidP="002871AC">
      <w:r w:rsidRPr="00953374">
        <w:rPr>
          <w:b/>
        </w:rPr>
        <w:t xml:space="preserve">Labor Market. </w:t>
      </w:r>
      <w:r w:rsidR="00BA472A">
        <w:t>Th</w:t>
      </w:r>
      <w:r w:rsidR="00757800">
        <w:t>e</w:t>
      </w:r>
      <w:r w:rsidR="00BA472A">
        <w:t xml:space="preserve"> roller-coaster effect</w:t>
      </w:r>
      <w:r w:rsidR="00757800">
        <w:t xml:space="preserve"> caused by these factors</w:t>
      </w:r>
      <w:r w:rsidR="00BA472A">
        <w:t xml:space="preserve"> is seen </w:t>
      </w:r>
      <w:r w:rsidR="00757800">
        <w:t>clearly</w:t>
      </w:r>
      <w:r w:rsidR="00BA472A">
        <w:t xml:space="preserve"> in the Finance</w:t>
      </w:r>
      <w:r w:rsidR="00C4353D">
        <w:t xml:space="preserve"> </w:t>
      </w:r>
      <w:r w:rsidR="00BA472A">
        <w:t>Division’s employment forecast</w:t>
      </w:r>
      <w:r w:rsidR="00953374">
        <w:t xml:space="preserve"> </w:t>
      </w:r>
      <w:r w:rsidR="000C7C8D">
        <w:t xml:space="preserve">(see figure 1 and table 1 below) </w:t>
      </w:r>
      <w:r w:rsidR="00953374">
        <w:t xml:space="preserve">which </w:t>
      </w:r>
      <w:r w:rsidR="00757800">
        <w:t>indicates</w:t>
      </w:r>
      <w:r w:rsidR="00953374">
        <w:t xml:space="preserve"> a</w:t>
      </w:r>
      <w:r w:rsidR="000C7C8D">
        <w:t xml:space="preserve"> short-term</w:t>
      </w:r>
      <w:r w:rsidR="00953374">
        <w:t xml:space="preserve"> strong uptick</w:t>
      </w:r>
      <w:r w:rsidR="00757800">
        <w:t>, followed by dramatic deceleration,</w:t>
      </w:r>
      <w:r w:rsidR="00953374">
        <w:t xml:space="preserve"> in certain employment sectors</w:t>
      </w:r>
      <w:r w:rsidR="00757800">
        <w:t>.</w:t>
      </w:r>
    </w:p>
    <w:p w14:paraId="623151D4" w14:textId="398E4665" w:rsidR="0047701D" w:rsidRDefault="00953374" w:rsidP="00E62A0B">
      <w:pPr>
        <w:pStyle w:val="ListParagraph"/>
        <w:numPr>
          <w:ilvl w:val="0"/>
          <w:numId w:val="15"/>
        </w:numPr>
        <w:spacing w:before="120" w:after="0"/>
        <w:contextualSpacing w:val="0"/>
      </w:pPr>
      <w:r w:rsidRPr="002871AC">
        <w:rPr>
          <w:b/>
        </w:rPr>
        <w:t xml:space="preserve">From </w:t>
      </w:r>
      <w:r w:rsidR="0047701D" w:rsidRPr="002871AC">
        <w:rPr>
          <w:b/>
        </w:rPr>
        <w:t>2018</w:t>
      </w:r>
      <w:r w:rsidRPr="002871AC">
        <w:rPr>
          <w:b/>
        </w:rPr>
        <w:t xml:space="preserve"> to </w:t>
      </w:r>
      <w:r w:rsidR="0047701D" w:rsidRPr="002871AC">
        <w:rPr>
          <w:b/>
        </w:rPr>
        <w:t>2019.</w:t>
      </w:r>
      <w:r w:rsidR="00A40CCC" w:rsidRPr="002871AC">
        <w:t xml:space="preserve"> After</w:t>
      </w:r>
      <w:r w:rsidR="00081D4A" w:rsidRPr="002871AC">
        <w:t xml:space="preserve"> experiencing</w:t>
      </w:r>
      <w:r w:rsidR="00A40CCC" w:rsidRPr="002871AC">
        <w:t xml:space="preserve"> two years of slow</w:t>
      </w:r>
      <w:r w:rsidR="00081D4A" w:rsidRPr="002871AC">
        <w:t>ed</w:t>
      </w:r>
      <w:r w:rsidR="00A40CCC" w:rsidRPr="002871AC">
        <w:t xml:space="preserve"> growth, payroll in</w:t>
      </w:r>
      <w:r w:rsidR="00081D4A" w:rsidRPr="002871AC">
        <w:t xml:space="preserve"> the</w:t>
      </w:r>
      <w:r w:rsidR="00A40CCC" w:rsidRPr="002871AC">
        <w:t xml:space="preserve"> finance</w:t>
      </w:r>
      <w:r w:rsidR="00081D4A" w:rsidRPr="002871AC">
        <w:t xml:space="preserve"> sector</w:t>
      </w:r>
      <w:r w:rsidR="00A40CCC" w:rsidRPr="002871AC">
        <w:t xml:space="preserve"> will expand in 2018, </w:t>
      </w:r>
      <w:r w:rsidR="00DA18C8" w:rsidRPr="002871AC">
        <w:t>invigorated by the</w:t>
      </w:r>
      <w:r w:rsidR="00FD6DCB" w:rsidRPr="002871AC">
        <w:t xml:space="preserve"> TCJA’s</w:t>
      </w:r>
      <w:r w:rsidR="00DA18C8" w:rsidRPr="002871AC">
        <w:t xml:space="preserve"> steep </w:t>
      </w:r>
      <w:r w:rsidR="006D48B2" w:rsidRPr="002871AC">
        <w:t>tax cuts for corporations and unincorporated firms</w:t>
      </w:r>
      <w:r w:rsidR="000E3331" w:rsidRPr="002871AC">
        <w:t>, a</w:t>
      </w:r>
      <w:r w:rsidR="00FD6DCB" w:rsidRPr="002871AC">
        <w:t>s well as</w:t>
      </w:r>
      <w:r w:rsidR="000E3331" w:rsidRPr="002871AC">
        <w:t xml:space="preserve"> ongoing business deregulation. </w:t>
      </w:r>
      <w:r w:rsidR="006839DE" w:rsidRPr="002871AC">
        <w:t>The b</w:t>
      </w:r>
      <w:r w:rsidR="00A40CCC" w:rsidRPr="002871AC">
        <w:t>usiness services</w:t>
      </w:r>
      <w:r w:rsidR="006839DE" w:rsidRPr="002871AC">
        <w:t xml:space="preserve"> sector</w:t>
      </w:r>
      <w:r w:rsidR="00A20C86" w:rsidRPr="002871AC">
        <w:t xml:space="preserve"> </w:t>
      </w:r>
      <w:r w:rsidR="00A40CCC" w:rsidRPr="002871AC">
        <w:t xml:space="preserve">will </w:t>
      </w:r>
      <w:r w:rsidR="00F234CD" w:rsidRPr="002871AC">
        <w:t>maintain strong growth through 2019</w:t>
      </w:r>
      <w:r w:rsidR="00A20C86" w:rsidRPr="002871AC">
        <w:t>, also enjoying the same changes in tax</w:t>
      </w:r>
      <w:r w:rsidR="006839DE" w:rsidRPr="002871AC">
        <w:t>ation</w:t>
      </w:r>
      <w:r w:rsidR="00A20C86" w:rsidRPr="002871AC">
        <w:t xml:space="preserve"> and regulation</w:t>
      </w:r>
      <w:r w:rsidR="00F234CD" w:rsidRPr="002871AC">
        <w:t xml:space="preserve">. </w:t>
      </w:r>
      <w:r w:rsidR="00A20C86" w:rsidRPr="002871AC">
        <w:t>Having a national clientele, th</w:t>
      </w:r>
      <w:r w:rsidR="006839DE" w:rsidRPr="002871AC">
        <w:t>is sector</w:t>
      </w:r>
      <w:r w:rsidR="00A20C86" w:rsidRPr="002871AC">
        <w:t xml:space="preserve"> will directly benefit from a stimulated U.S. economy. </w:t>
      </w:r>
      <w:r w:rsidR="00FF0E63" w:rsidRPr="002871AC">
        <w:t>Employment in the l</w:t>
      </w:r>
      <w:r w:rsidR="00A20C86" w:rsidRPr="002871AC">
        <w:t>eisure and hospitality</w:t>
      </w:r>
      <w:r w:rsidR="00FF0E63" w:rsidRPr="002871AC">
        <w:t xml:space="preserve"> sector</w:t>
      </w:r>
      <w:r w:rsidR="000C7C8D" w:rsidRPr="002871AC">
        <w:t xml:space="preserve"> </w:t>
      </w:r>
      <w:r w:rsidR="00A20C86" w:rsidRPr="002871AC">
        <w:t xml:space="preserve">will </w:t>
      </w:r>
      <w:r w:rsidR="00E512D8" w:rsidRPr="002871AC">
        <w:t xml:space="preserve">continue to thrive through 2019 </w:t>
      </w:r>
      <w:r w:rsidR="006839DE" w:rsidRPr="002871AC">
        <w:t>due to</w:t>
      </w:r>
      <w:r w:rsidR="00A20C86" w:rsidRPr="002871AC">
        <w:t xml:space="preserve"> a</w:t>
      </w:r>
      <w:r w:rsidR="00F96A02" w:rsidRPr="002871AC">
        <w:t>n</w:t>
      </w:r>
      <w:r w:rsidR="00A20C86" w:rsidRPr="002871AC">
        <w:t xml:space="preserve"> </w:t>
      </w:r>
      <w:r w:rsidR="00E512D8" w:rsidRPr="002871AC">
        <w:t>u</w:t>
      </w:r>
      <w:r w:rsidR="00A20C86" w:rsidRPr="002871AC">
        <w:t>pward trend in tourism</w:t>
      </w:r>
      <w:r w:rsidR="00F96A02" w:rsidRPr="002871AC">
        <w:t>,</w:t>
      </w:r>
      <w:r w:rsidR="00EB6248" w:rsidRPr="002871AC">
        <w:t xml:space="preserve"> with visitors</w:t>
      </w:r>
      <w:r w:rsidR="00F96A02" w:rsidRPr="002871AC">
        <w:t xml:space="preserve"> drawn by a weaker dollar</w:t>
      </w:r>
      <w:r w:rsidR="00A20C86" w:rsidRPr="002871AC">
        <w:t xml:space="preserve">, </w:t>
      </w:r>
      <w:r w:rsidR="00F96A02" w:rsidRPr="002871AC">
        <w:t>as well as</w:t>
      </w:r>
      <w:r w:rsidR="00A20C86" w:rsidRPr="002871AC">
        <w:t xml:space="preserve"> </w:t>
      </w:r>
      <w:r w:rsidR="00E512D8" w:rsidRPr="002871AC">
        <w:t>New Yorkers</w:t>
      </w:r>
      <w:r w:rsidR="00EB6248" w:rsidRPr="002871AC">
        <w:t xml:space="preserve"> having</w:t>
      </w:r>
      <w:r w:rsidR="00A20C86" w:rsidRPr="002871AC">
        <w:t xml:space="preserve"> more disposable income</w:t>
      </w:r>
      <w:r w:rsidR="00EB6248" w:rsidRPr="002871AC">
        <w:t xml:space="preserve"> to spend</w:t>
      </w:r>
      <w:r w:rsidR="00A20C86" w:rsidRPr="002871AC">
        <w:t xml:space="preserve">. </w:t>
      </w:r>
    </w:p>
    <w:p w14:paraId="53EA51AB" w14:textId="39C0EE20" w:rsidR="00542664" w:rsidRPr="002871AC" w:rsidRDefault="00A20C86" w:rsidP="00E62A0B">
      <w:pPr>
        <w:pStyle w:val="ListParagraph"/>
        <w:numPr>
          <w:ilvl w:val="0"/>
          <w:numId w:val="14"/>
        </w:numPr>
        <w:spacing w:before="120" w:after="120"/>
        <w:contextualSpacing w:val="0"/>
      </w:pPr>
      <w:r w:rsidRPr="002871AC">
        <w:rPr>
          <w:b/>
        </w:rPr>
        <w:t>After 2019</w:t>
      </w:r>
      <w:r w:rsidR="00953374" w:rsidRPr="002871AC">
        <w:rPr>
          <w:b/>
        </w:rPr>
        <w:t>.</w:t>
      </w:r>
      <w:r w:rsidRPr="002871AC">
        <w:t xml:space="preserve"> </w:t>
      </w:r>
      <w:r w:rsidR="00953374" w:rsidRPr="002871AC">
        <w:t>T</w:t>
      </w:r>
      <w:r w:rsidRPr="002871AC">
        <w:t xml:space="preserve">hese three </w:t>
      </w:r>
      <w:r w:rsidR="00F234CD" w:rsidRPr="002871AC">
        <w:t xml:space="preserve">important sectors </w:t>
      </w:r>
      <w:r w:rsidRPr="002871AC">
        <w:t>are expected to</w:t>
      </w:r>
      <w:r w:rsidR="00F234CD" w:rsidRPr="002871AC">
        <w:t xml:space="preserve"> </w:t>
      </w:r>
      <w:r w:rsidR="00C95D54" w:rsidRPr="002871AC">
        <w:t>experience</w:t>
      </w:r>
      <w:r w:rsidR="00F234CD" w:rsidRPr="002871AC">
        <w:t xml:space="preserve"> </w:t>
      </w:r>
      <w:r w:rsidR="00E512D8" w:rsidRPr="002871AC">
        <w:t xml:space="preserve">a </w:t>
      </w:r>
      <w:r w:rsidR="00C95D54" w:rsidRPr="002871AC">
        <w:t>precipitous</w:t>
      </w:r>
      <w:r w:rsidR="00F234CD" w:rsidRPr="002871AC">
        <w:t xml:space="preserve"> </w:t>
      </w:r>
      <w:r w:rsidR="00E512D8" w:rsidRPr="002871AC">
        <w:t>deceleration</w:t>
      </w:r>
      <w:r w:rsidR="00A124B6" w:rsidRPr="002871AC">
        <w:t xml:space="preserve"> after 2019</w:t>
      </w:r>
      <w:r w:rsidRPr="002871AC">
        <w:t xml:space="preserve">, as the stimulus runs its course and they face </w:t>
      </w:r>
      <w:r w:rsidR="00A124B6" w:rsidRPr="002871AC">
        <w:t>similar</w:t>
      </w:r>
      <w:r w:rsidRPr="002871AC">
        <w:t xml:space="preserve"> bottlenecks </w:t>
      </w:r>
      <w:r w:rsidR="00A124B6" w:rsidRPr="002871AC">
        <w:t>to growth experienced prior to the TCJA</w:t>
      </w:r>
      <w:r w:rsidR="008316EC" w:rsidRPr="002871AC">
        <w:t>.</w:t>
      </w:r>
      <w:r w:rsidR="00C95D54" w:rsidRPr="002871AC">
        <w:t xml:space="preserve">  </w:t>
      </w:r>
      <w:r w:rsidR="00A124B6" w:rsidRPr="002871AC">
        <w:t>The h</w:t>
      </w:r>
      <w:r w:rsidR="009504D6" w:rsidRPr="002871AC">
        <w:t xml:space="preserve">ealth care and </w:t>
      </w:r>
      <w:r w:rsidR="00A124B6" w:rsidRPr="002871AC">
        <w:t>education sectors</w:t>
      </w:r>
      <w:r w:rsidR="00953941" w:rsidRPr="002871AC">
        <w:t xml:space="preserve"> </w:t>
      </w:r>
      <w:r w:rsidR="005B0628" w:rsidRPr="002871AC">
        <w:t>may be</w:t>
      </w:r>
      <w:r w:rsidR="00FD3193" w:rsidRPr="002871AC">
        <w:t xml:space="preserve"> the exceptions to this trend</w:t>
      </w:r>
      <w:r w:rsidR="0087675B" w:rsidRPr="002871AC">
        <w:t xml:space="preserve">. Both sectors </w:t>
      </w:r>
      <w:r w:rsidR="009504D6" w:rsidRPr="002871AC">
        <w:t xml:space="preserve">added jobs </w:t>
      </w:r>
      <w:r w:rsidR="005B0628" w:rsidRPr="002871AC">
        <w:t xml:space="preserve">even </w:t>
      </w:r>
      <w:r w:rsidR="009504D6" w:rsidRPr="002871AC">
        <w:t xml:space="preserve">during the </w:t>
      </w:r>
      <w:r w:rsidR="0087675B" w:rsidRPr="002871AC">
        <w:t xml:space="preserve">last </w:t>
      </w:r>
      <w:r w:rsidR="009504D6" w:rsidRPr="002871AC">
        <w:t xml:space="preserve">recession, </w:t>
      </w:r>
      <w:r w:rsidR="00FD3193" w:rsidRPr="002871AC">
        <w:t>and will</w:t>
      </w:r>
      <w:r w:rsidR="009504D6" w:rsidRPr="002871AC">
        <w:t xml:space="preserve"> </w:t>
      </w:r>
      <w:r w:rsidR="005B0628" w:rsidRPr="002871AC">
        <w:t>likely</w:t>
      </w:r>
      <w:r w:rsidR="0087675B" w:rsidRPr="002871AC">
        <w:t xml:space="preserve"> </w:t>
      </w:r>
      <w:r w:rsidR="009504D6" w:rsidRPr="002871AC">
        <w:t xml:space="preserve">maintain </w:t>
      </w:r>
      <w:r w:rsidR="00FD3193" w:rsidRPr="002871AC">
        <w:t xml:space="preserve">healthy </w:t>
      </w:r>
      <w:r w:rsidR="009504D6" w:rsidRPr="002871AC">
        <w:t>payroll growth throughout the Financial Plan.</w:t>
      </w:r>
      <w:r w:rsidR="0087675B" w:rsidRPr="002871AC">
        <w:t xml:space="preserve"> Retiring baby-boomers will continue to increase the demand for health services</w:t>
      </w:r>
      <w:r w:rsidR="0073340B" w:rsidRPr="002871AC">
        <w:t xml:space="preserve">. The only threat that remains to the health sector </w:t>
      </w:r>
      <w:r w:rsidR="008D7295" w:rsidRPr="002871AC">
        <w:t xml:space="preserve">would </w:t>
      </w:r>
      <w:r w:rsidR="0087675B" w:rsidRPr="002871AC">
        <w:t xml:space="preserve">come from a future, successful attempt to repeal the </w:t>
      </w:r>
      <w:r w:rsidR="002C1453" w:rsidRPr="002871AC">
        <w:t xml:space="preserve">Affordable Care Act. </w:t>
      </w:r>
      <w:r w:rsidR="0073340B" w:rsidRPr="002871AC">
        <w:t>Meanwhile, the r</w:t>
      </w:r>
      <w:r w:rsidR="002C1453" w:rsidRPr="002871AC">
        <w:t>etail employment</w:t>
      </w:r>
      <w:r w:rsidR="0073340B" w:rsidRPr="002871AC">
        <w:t xml:space="preserve"> sector</w:t>
      </w:r>
      <w:r w:rsidR="002C1453" w:rsidRPr="002871AC">
        <w:t xml:space="preserve"> is facing a very different prospect, </w:t>
      </w:r>
      <w:r w:rsidR="002211D1" w:rsidRPr="002871AC">
        <w:t xml:space="preserve">with customers shifting from </w:t>
      </w:r>
      <w:r w:rsidR="0073340B" w:rsidRPr="002871AC">
        <w:t>in-</w:t>
      </w:r>
      <w:r w:rsidR="002211D1" w:rsidRPr="002871AC">
        <w:t xml:space="preserve">store to online purchasing. There </w:t>
      </w:r>
      <w:r w:rsidR="00366A3E" w:rsidRPr="002871AC">
        <w:t>is</w:t>
      </w:r>
      <w:r w:rsidR="002211D1" w:rsidRPr="002871AC">
        <w:t xml:space="preserve"> no </w:t>
      </w:r>
      <w:r w:rsidR="00366A3E" w:rsidRPr="002871AC">
        <w:t>indication</w:t>
      </w:r>
      <w:r w:rsidR="002211D1" w:rsidRPr="002871AC">
        <w:t xml:space="preserve"> that the</w:t>
      </w:r>
      <w:r w:rsidR="00355D58" w:rsidRPr="002871AC">
        <w:t xml:space="preserve"> two-year trend in </w:t>
      </w:r>
      <w:r w:rsidR="00C06733" w:rsidRPr="002871AC">
        <w:t>falling</w:t>
      </w:r>
      <w:r w:rsidR="00355D58" w:rsidRPr="002871AC">
        <w:t xml:space="preserve"> </w:t>
      </w:r>
      <w:r w:rsidR="00366A3E" w:rsidRPr="002871AC">
        <w:t>retail payroll</w:t>
      </w:r>
      <w:r w:rsidR="00355D58" w:rsidRPr="002871AC">
        <w:t xml:space="preserve"> is about to bottom-out.</w:t>
      </w:r>
      <w:r w:rsidR="000C7C8D" w:rsidRPr="002871AC">
        <w:t xml:space="preserve"> </w:t>
      </w:r>
    </w:p>
    <w:p w14:paraId="768F51BA" w14:textId="77777777" w:rsidR="0015644E" w:rsidRDefault="0015644E">
      <w:pPr>
        <w:spacing w:after="160" w:line="259" w:lineRule="auto"/>
        <w:jc w:val="left"/>
        <w:rPr>
          <w:b/>
          <w:szCs w:val="24"/>
        </w:rPr>
      </w:pPr>
      <w:r>
        <w:rPr>
          <w:b/>
          <w:szCs w:val="24"/>
        </w:rPr>
        <w:br w:type="page"/>
      </w:r>
    </w:p>
    <w:p w14:paraId="7CCE89B6" w14:textId="102045B8" w:rsidR="00C4353D" w:rsidRDefault="00A7504E" w:rsidP="00A812B8">
      <w:r>
        <w:rPr>
          <w:noProof/>
        </w:rPr>
        <w:lastRenderedPageBreak/>
        <mc:AlternateContent>
          <mc:Choice Requires="wps">
            <w:drawing>
              <wp:anchor distT="0" distB="0" distL="114300" distR="114300" simplePos="0" relativeHeight="251659264" behindDoc="0" locked="0" layoutInCell="1" allowOverlap="1" wp14:anchorId="6F2C40D1" wp14:editId="0BA478CD">
                <wp:simplePos x="0" y="0"/>
                <wp:positionH relativeFrom="column">
                  <wp:posOffset>1299808</wp:posOffset>
                </wp:positionH>
                <wp:positionV relativeFrom="paragraph">
                  <wp:posOffset>379363</wp:posOffset>
                </wp:positionV>
                <wp:extent cx="7557" cy="2448476"/>
                <wp:effectExtent l="0" t="0" r="31115" b="28575"/>
                <wp:wrapNone/>
                <wp:docPr id="1" name="Straight Connector 1"/>
                <wp:cNvGraphicFramePr/>
                <a:graphic xmlns:a="http://schemas.openxmlformats.org/drawingml/2006/main">
                  <a:graphicData uri="http://schemas.microsoft.com/office/word/2010/wordprocessingShape">
                    <wps:wsp>
                      <wps:cNvCnPr/>
                      <wps:spPr>
                        <a:xfrm>
                          <a:off x="0" y="0"/>
                          <a:ext cx="7557" cy="2448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A15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29.85pt" to="102.9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" strokecolor="black [3200]" strokeweight=".5pt">
                <v:stroke joinstyle="miter"/>
              </v:line>
            </w:pict>
          </mc:Fallback>
        </mc:AlternateContent>
      </w:r>
      <w:r w:rsidR="00E62A0B">
        <w:rPr>
          <w:noProof/>
        </w:rPr>
        <mc:AlternateContent>
          <mc:Choice Requires="wps">
            <w:drawing>
              <wp:anchor distT="0" distB="0" distL="114300" distR="114300" simplePos="0" relativeHeight="251658239" behindDoc="0" locked="0" layoutInCell="1" allowOverlap="1" wp14:anchorId="7BC30777" wp14:editId="05040CB1">
                <wp:simplePos x="0" y="0"/>
                <wp:positionH relativeFrom="column">
                  <wp:posOffset>1384300</wp:posOffset>
                </wp:positionH>
                <wp:positionV relativeFrom="paragraph">
                  <wp:posOffset>390268</wp:posOffset>
                </wp:positionV>
                <wp:extent cx="638175" cy="228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38175" cy="228600"/>
                        </a:xfrm>
                        <a:prstGeom prst="rect">
                          <a:avLst/>
                        </a:prstGeom>
                        <a:solidFill>
                          <a:schemeClr val="lt1"/>
                        </a:solidFill>
                        <a:ln w="6350">
                          <a:noFill/>
                        </a:ln>
                      </wps:spPr>
                      <wps:txbx>
                        <w:txbxContent>
                          <w:p w14:paraId="2F831A65" w14:textId="09F6B6AB" w:rsidR="00E62A0B" w:rsidRPr="00BD7D2F" w:rsidRDefault="00E62A0B">
                            <w:pPr>
                              <w:rPr>
                                <w:sz w:val="20"/>
                                <w:szCs w:val="20"/>
                              </w:rPr>
                            </w:pPr>
                            <w:r w:rsidRPr="00BD7D2F">
                              <w:rPr>
                                <w:sz w:val="20"/>
                                <w:szCs w:val="20"/>
                              </w:rPr>
                              <w:t>Forecast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30777" id="_x0000_t202" coordsize="21600,21600" o:spt="202" path="m,l,21600r21600,l21600,xe">
                <v:stroke joinstyle="miter"/>
                <v:path gradientshapeok="t" o:connecttype="rect"/>
              </v:shapetype>
              <v:shape id="Text Box 4" o:spid="_x0000_s1028" type="#_x0000_t202" style="position:absolute;left:0;text-align:left;margin-left:109pt;margin-top:30.75pt;width:50.25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" fillcolor="white [3201]" stroked="f" strokeweight=".5pt">
                <v:textbox>
                  <w:txbxContent>
                    <w:p w14:paraId="2F831A65" w14:textId="09F6B6AB" w:rsidR="00E62A0B" w:rsidRPr="00BD7D2F" w:rsidRDefault="00E62A0B">
                      <w:pPr>
                        <w:rPr>
                          <w:sz w:val="20"/>
                          <w:szCs w:val="20"/>
                        </w:rPr>
                      </w:pPr>
                      <w:r w:rsidRPr="00BD7D2F">
                        <w:rPr>
                          <w:sz w:val="20"/>
                          <w:szCs w:val="20"/>
                        </w:rPr>
                        <w:t>Forecast</w:t>
                      </w:r>
                    </w:p>
                  </w:txbxContent>
                </v:textbox>
              </v:shape>
            </w:pict>
          </mc:Fallback>
        </mc:AlternateContent>
      </w:r>
      <w:r w:rsidR="009504D6">
        <w:rPr>
          <w:noProof/>
        </w:rPr>
        <w:drawing>
          <wp:inline distT="0" distB="0" distL="0" distR="0" wp14:anchorId="6973A22E" wp14:editId="0F1FF6BB">
            <wp:extent cx="5981700" cy="3491346"/>
            <wp:effectExtent l="0" t="0" r="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A43A9C" w14:textId="47CA0C0F" w:rsidR="00B52558" w:rsidRDefault="00A66D76" w:rsidP="00A66D76">
      <w:pPr>
        <w:rPr>
          <w:i/>
          <w:sz w:val="20"/>
          <w:szCs w:val="20"/>
        </w:rPr>
      </w:pPr>
      <w:r w:rsidRPr="005B27E4">
        <w:rPr>
          <w:b/>
          <w:i/>
          <w:sz w:val="20"/>
          <w:szCs w:val="20"/>
        </w:rPr>
        <w:t>Source:</w:t>
      </w:r>
      <w:r w:rsidRPr="005B27E4">
        <w:rPr>
          <w:i/>
          <w:sz w:val="20"/>
          <w:szCs w:val="20"/>
        </w:rPr>
        <w:t xml:space="preserve"> New York </w:t>
      </w:r>
      <w:r w:rsidR="00516940" w:rsidRPr="005B27E4">
        <w:rPr>
          <w:i/>
          <w:sz w:val="20"/>
          <w:szCs w:val="20"/>
        </w:rPr>
        <w:t xml:space="preserve">City Council </w:t>
      </w:r>
      <w:r w:rsidR="00F73DC4" w:rsidRPr="005B27E4">
        <w:rPr>
          <w:i/>
          <w:sz w:val="20"/>
          <w:szCs w:val="20"/>
        </w:rPr>
        <w:t>Finance Division</w:t>
      </w:r>
    </w:p>
    <w:p w14:paraId="2D3D7464" w14:textId="0CCB9C21" w:rsidR="002871AC" w:rsidRDefault="002871AC">
      <w:pPr>
        <w:rPr>
          <w:i/>
          <w:sz w:val="20"/>
          <w:szCs w:val="20"/>
        </w:rPr>
      </w:pPr>
    </w:p>
    <w:tbl>
      <w:tblPr>
        <w:tblW w:w="8716" w:type="dxa"/>
        <w:tblLook w:val="04A0" w:firstRow="1" w:lastRow="0" w:firstColumn="1" w:lastColumn="0" w:noHBand="0" w:noVBand="1"/>
      </w:tblPr>
      <w:tblGrid>
        <w:gridCol w:w="3664"/>
        <w:gridCol w:w="842"/>
        <w:gridCol w:w="842"/>
        <w:gridCol w:w="842"/>
        <w:gridCol w:w="842"/>
        <w:gridCol w:w="842"/>
        <w:gridCol w:w="842"/>
      </w:tblGrid>
      <w:tr w:rsidR="00F37359" w:rsidRPr="008615A5" w14:paraId="0DE4B7B8" w14:textId="77777777" w:rsidTr="00A7504E">
        <w:trPr>
          <w:trHeight w:val="144"/>
        </w:trPr>
        <w:tc>
          <w:tcPr>
            <w:tcW w:w="8716" w:type="dxa"/>
            <w:gridSpan w:val="7"/>
            <w:tcBorders>
              <w:top w:val="single" w:sz="4" w:space="0" w:color="auto"/>
              <w:left w:val="nil"/>
              <w:bottom w:val="single" w:sz="4" w:space="0" w:color="auto"/>
              <w:right w:val="nil"/>
            </w:tcBorders>
            <w:shd w:val="clear" w:color="auto" w:fill="auto"/>
            <w:noWrap/>
            <w:vAlign w:val="bottom"/>
            <w:hideMark/>
          </w:tcPr>
          <w:p w14:paraId="30D8F2BB" w14:textId="15515C29" w:rsidR="00F37359" w:rsidRPr="008615A5" w:rsidRDefault="00F37359" w:rsidP="00F37359">
            <w:pPr>
              <w:spacing w:after="0"/>
              <w:rPr>
                <w:rFonts w:ascii="Calibri" w:eastAsia="Times New Roman" w:hAnsi="Calibri" w:cs="Times New Roman"/>
                <w:b/>
                <w:bCs/>
                <w:color w:val="000000"/>
                <w:sz w:val="20"/>
                <w:szCs w:val="20"/>
              </w:rPr>
            </w:pPr>
            <w:r w:rsidRPr="008615A5">
              <w:rPr>
                <w:rFonts w:ascii="Calibri" w:eastAsia="Times New Roman" w:hAnsi="Calibri" w:cs="Times New Roman"/>
                <w:b/>
                <w:bCs/>
                <w:color w:val="000000"/>
                <w:sz w:val="20"/>
                <w:szCs w:val="20"/>
              </w:rPr>
              <w:t>Annual Employment Growth by Sector</w:t>
            </w:r>
          </w:p>
        </w:tc>
      </w:tr>
      <w:tr w:rsidR="00F37359" w:rsidRPr="008615A5" w14:paraId="53D4DA10" w14:textId="77777777" w:rsidTr="00A7504E">
        <w:trPr>
          <w:trHeight w:val="144"/>
        </w:trPr>
        <w:tc>
          <w:tcPr>
            <w:tcW w:w="3664" w:type="dxa"/>
            <w:tcBorders>
              <w:top w:val="nil"/>
              <w:left w:val="nil"/>
              <w:bottom w:val="single" w:sz="4" w:space="0" w:color="auto"/>
              <w:right w:val="nil"/>
            </w:tcBorders>
            <w:shd w:val="clear" w:color="auto" w:fill="auto"/>
            <w:noWrap/>
            <w:vAlign w:val="bottom"/>
            <w:hideMark/>
          </w:tcPr>
          <w:p w14:paraId="1A68C1C6"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 </w:t>
            </w:r>
          </w:p>
        </w:tc>
        <w:tc>
          <w:tcPr>
            <w:tcW w:w="842" w:type="dxa"/>
            <w:tcBorders>
              <w:top w:val="nil"/>
              <w:left w:val="nil"/>
              <w:bottom w:val="single" w:sz="4" w:space="0" w:color="auto"/>
              <w:right w:val="nil"/>
            </w:tcBorders>
            <w:shd w:val="clear" w:color="auto" w:fill="auto"/>
            <w:noWrap/>
            <w:vAlign w:val="bottom"/>
            <w:hideMark/>
          </w:tcPr>
          <w:p w14:paraId="3FDE77AF" w14:textId="77777777" w:rsidR="00F37359" w:rsidRPr="008615A5" w:rsidRDefault="00F37359" w:rsidP="00A7504E">
            <w:pPr>
              <w:spacing w:after="0"/>
              <w:jc w:val="center"/>
              <w:rPr>
                <w:rFonts w:ascii="Calibri" w:eastAsia="Times New Roman" w:hAnsi="Calibri" w:cs="Times New Roman"/>
                <w:b/>
                <w:bCs/>
                <w:color w:val="000000"/>
                <w:sz w:val="20"/>
                <w:szCs w:val="20"/>
              </w:rPr>
            </w:pPr>
            <w:r w:rsidRPr="008615A5">
              <w:rPr>
                <w:rFonts w:ascii="Calibri" w:eastAsia="Times New Roman" w:hAnsi="Calibri" w:cs="Times New Roman"/>
                <w:b/>
                <w:bCs/>
                <w:color w:val="000000"/>
                <w:sz w:val="20"/>
                <w:szCs w:val="20"/>
              </w:rPr>
              <w:t>2017</w:t>
            </w:r>
          </w:p>
        </w:tc>
        <w:tc>
          <w:tcPr>
            <w:tcW w:w="842" w:type="dxa"/>
            <w:tcBorders>
              <w:top w:val="nil"/>
              <w:left w:val="nil"/>
              <w:bottom w:val="single" w:sz="4" w:space="0" w:color="auto"/>
              <w:right w:val="nil"/>
            </w:tcBorders>
            <w:shd w:val="clear" w:color="auto" w:fill="auto"/>
            <w:noWrap/>
            <w:vAlign w:val="bottom"/>
            <w:hideMark/>
          </w:tcPr>
          <w:p w14:paraId="54A25B9A" w14:textId="77777777" w:rsidR="00F37359" w:rsidRPr="008615A5" w:rsidRDefault="00F37359" w:rsidP="00A7504E">
            <w:pPr>
              <w:spacing w:after="0"/>
              <w:jc w:val="center"/>
              <w:rPr>
                <w:rFonts w:ascii="Calibri" w:eastAsia="Times New Roman" w:hAnsi="Calibri" w:cs="Times New Roman"/>
                <w:b/>
                <w:bCs/>
                <w:color w:val="000000"/>
                <w:sz w:val="20"/>
                <w:szCs w:val="20"/>
              </w:rPr>
            </w:pPr>
            <w:r w:rsidRPr="008615A5">
              <w:rPr>
                <w:rFonts w:ascii="Calibri" w:eastAsia="Times New Roman" w:hAnsi="Calibri" w:cs="Times New Roman"/>
                <w:b/>
                <w:bCs/>
                <w:color w:val="000000"/>
                <w:sz w:val="20"/>
                <w:szCs w:val="20"/>
              </w:rPr>
              <w:t>2018</w:t>
            </w:r>
          </w:p>
        </w:tc>
        <w:tc>
          <w:tcPr>
            <w:tcW w:w="842" w:type="dxa"/>
            <w:tcBorders>
              <w:top w:val="nil"/>
              <w:left w:val="nil"/>
              <w:bottom w:val="single" w:sz="4" w:space="0" w:color="auto"/>
              <w:right w:val="nil"/>
            </w:tcBorders>
            <w:shd w:val="clear" w:color="auto" w:fill="auto"/>
            <w:noWrap/>
            <w:vAlign w:val="bottom"/>
            <w:hideMark/>
          </w:tcPr>
          <w:p w14:paraId="73A0F36A" w14:textId="77777777" w:rsidR="00F37359" w:rsidRPr="008615A5" w:rsidRDefault="00F37359" w:rsidP="00A7504E">
            <w:pPr>
              <w:spacing w:after="0"/>
              <w:jc w:val="center"/>
              <w:rPr>
                <w:rFonts w:ascii="Calibri" w:eastAsia="Times New Roman" w:hAnsi="Calibri" w:cs="Times New Roman"/>
                <w:b/>
                <w:bCs/>
                <w:color w:val="000000"/>
                <w:sz w:val="20"/>
                <w:szCs w:val="20"/>
              </w:rPr>
            </w:pPr>
            <w:r w:rsidRPr="008615A5">
              <w:rPr>
                <w:rFonts w:ascii="Calibri" w:eastAsia="Times New Roman" w:hAnsi="Calibri" w:cs="Times New Roman"/>
                <w:b/>
                <w:bCs/>
                <w:color w:val="000000"/>
                <w:sz w:val="20"/>
                <w:szCs w:val="20"/>
              </w:rPr>
              <w:t>2019</w:t>
            </w:r>
          </w:p>
        </w:tc>
        <w:tc>
          <w:tcPr>
            <w:tcW w:w="842" w:type="dxa"/>
            <w:tcBorders>
              <w:top w:val="nil"/>
              <w:left w:val="nil"/>
              <w:bottom w:val="single" w:sz="4" w:space="0" w:color="auto"/>
              <w:right w:val="nil"/>
            </w:tcBorders>
            <w:shd w:val="clear" w:color="auto" w:fill="auto"/>
            <w:noWrap/>
            <w:vAlign w:val="bottom"/>
            <w:hideMark/>
          </w:tcPr>
          <w:p w14:paraId="00A72CDC" w14:textId="77777777" w:rsidR="00F37359" w:rsidRPr="008615A5" w:rsidRDefault="00F37359" w:rsidP="00A7504E">
            <w:pPr>
              <w:spacing w:after="0"/>
              <w:jc w:val="center"/>
              <w:rPr>
                <w:rFonts w:ascii="Calibri" w:eastAsia="Times New Roman" w:hAnsi="Calibri" w:cs="Times New Roman"/>
                <w:b/>
                <w:bCs/>
                <w:color w:val="000000"/>
                <w:sz w:val="20"/>
                <w:szCs w:val="20"/>
              </w:rPr>
            </w:pPr>
            <w:r w:rsidRPr="008615A5">
              <w:rPr>
                <w:rFonts w:ascii="Calibri" w:eastAsia="Times New Roman" w:hAnsi="Calibri" w:cs="Times New Roman"/>
                <w:b/>
                <w:bCs/>
                <w:color w:val="000000"/>
                <w:sz w:val="20"/>
                <w:szCs w:val="20"/>
              </w:rPr>
              <w:t>2020</w:t>
            </w:r>
          </w:p>
        </w:tc>
        <w:tc>
          <w:tcPr>
            <w:tcW w:w="842" w:type="dxa"/>
            <w:tcBorders>
              <w:top w:val="nil"/>
              <w:left w:val="nil"/>
              <w:bottom w:val="single" w:sz="4" w:space="0" w:color="auto"/>
              <w:right w:val="nil"/>
            </w:tcBorders>
            <w:shd w:val="clear" w:color="auto" w:fill="auto"/>
            <w:noWrap/>
            <w:vAlign w:val="bottom"/>
            <w:hideMark/>
          </w:tcPr>
          <w:p w14:paraId="2870B76F" w14:textId="77777777" w:rsidR="00F37359" w:rsidRPr="008615A5" w:rsidRDefault="00F37359" w:rsidP="00A7504E">
            <w:pPr>
              <w:spacing w:after="0"/>
              <w:jc w:val="center"/>
              <w:rPr>
                <w:rFonts w:ascii="Calibri" w:eastAsia="Times New Roman" w:hAnsi="Calibri" w:cs="Times New Roman"/>
                <w:b/>
                <w:bCs/>
                <w:color w:val="000000"/>
                <w:sz w:val="20"/>
                <w:szCs w:val="20"/>
              </w:rPr>
            </w:pPr>
            <w:r w:rsidRPr="008615A5">
              <w:rPr>
                <w:rFonts w:ascii="Calibri" w:eastAsia="Times New Roman" w:hAnsi="Calibri" w:cs="Times New Roman"/>
                <w:b/>
                <w:bCs/>
                <w:color w:val="000000"/>
                <w:sz w:val="20"/>
                <w:szCs w:val="20"/>
              </w:rPr>
              <w:t>2021</w:t>
            </w:r>
          </w:p>
        </w:tc>
        <w:tc>
          <w:tcPr>
            <w:tcW w:w="842" w:type="dxa"/>
            <w:tcBorders>
              <w:top w:val="nil"/>
              <w:left w:val="nil"/>
              <w:bottom w:val="single" w:sz="4" w:space="0" w:color="auto"/>
              <w:right w:val="nil"/>
            </w:tcBorders>
            <w:shd w:val="clear" w:color="auto" w:fill="auto"/>
            <w:noWrap/>
            <w:vAlign w:val="bottom"/>
            <w:hideMark/>
          </w:tcPr>
          <w:p w14:paraId="0739EA0E" w14:textId="77777777" w:rsidR="00F37359" w:rsidRPr="008615A5" w:rsidRDefault="00F37359" w:rsidP="00A7504E">
            <w:pPr>
              <w:spacing w:after="0"/>
              <w:jc w:val="center"/>
              <w:rPr>
                <w:rFonts w:ascii="Calibri" w:eastAsia="Times New Roman" w:hAnsi="Calibri" w:cs="Times New Roman"/>
                <w:b/>
                <w:bCs/>
                <w:color w:val="000000"/>
                <w:sz w:val="20"/>
                <w:szCs w:val="20"/>
              </w:rPr>
            </w:pPr>
            <w:r w:rsidRPr="008615A5">
              <w:rPr>
                <w:rFonts w:ascii="Calibri" w:eastAsia="Times New Roman" w:hAnsi="Calibri" w:cs="Times New Roman"/>
                <w:b/>
                <w:bCs/>
                <w:color w:val="000000"/>
                <w:sz w:val="20"/>
                <w:szCs w:val="20"/>
              </w:rPr>
              <w:t>2022</w:t>
            </w:r>
          </w:p>
        </w:tc>
      </w:tr>
      <w:tr w:rsidR="00F37359" w:rsidRPr="008615A5" w14:paraId="536396E0" w14:textId="77777777" w:rsidTr="00A7504E">
        <w:trPr>
          <w:trHeight w:val="144"/>
        </w:trPr>
        <w:tc>
          <w:tcPr>
            <w:tcW w:w="3664" w:type="dxa"/>
            <w:tcBorders>
              <w:top w:val="nil"/>
              <w:left w:val="nil"/>
              <w:bottom w:val="nil"/>
              <w:right w:val="nil"/>
            </w:tcBorders>
            <w:shd w:val="clear" w:color="auto" w:fill="auto"/>
            <w:noWrap/>
            <w:vAlign w:val="bottom"/>
            <w:hideMark/>
          </w:tcPr>
          <w:p w14:paraId="27BE7822"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Total Private Sector</w:t>
            </w:r>
          </w:p>
        </w:tc>
        <w:tc>
          <w:tcPr>
            <w:tcW w:w="842" w:type="dxa"/>
            <w:tcBorders>
              <w:top w:val="nil"/>
              <w:left w:val="nil"/>
              <w:bottom w:val="nil"/>
              <w:right w:val="nil"/>
            </w:tcBorders>
            <w:shd w:val="clear" w:color="auto" w:fill="auto"/>
            <w:noWrap/>
            <w:vAlign w:val="bottom"/>
            <w:hideMark/>
          </w:tcPr>
          <w:p w14:paraId="51138A1D"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1.9%</w:t>
            </w:r>
          </w:p>
        </w:tc>
        <w:tc>
          <w:tcPr>
            <w:tcW w:w="842" w:type="dxa"/>
            <w:tcBorders>
              <w:top w:val="nil"/>
              <w:left w:val="nil"/>
              <w:bottom w:val="nil"/>
              <w:right w:val="nil"/>
            </w:tcBorders>
            <w:shd w:val="clear" w:color="auto" w:fill="auto"/>
            <w:noWrap/>
            <w:vAlign w:val="bottom"/>
            <w:hideMark/>
          </w:tcPr>
          <w:p w14:paraId="75A66B99"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2.0%</w:t>
            </w:r>
          </w:p>
        </w:tc>
        <w:tc>
          <w:tcPr>
            <w:tcW w:w="842" w:type="dxa"/>
            <w:tcBorders>
              <w:top w:val="nil"/>
              <w:left w:val="nil"/>
              <w:bottom w:val="nil"/>
              <w:right w:val="nil"/>
            </w:tcBorders>
            <w:shd w:val="clear" w:color="auto" w:fill="auto"/>
            <w:noWrap/>
            <w:vAlign w:val="bottom"/>
            <w:hideMark/>
          </w:tcPr>
          <w:p w14:paraId="0C7AD076"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1.9%</w:t>
            </w:r>
          </w:p>
        </w:tc>
        <w:tc>
          <w:tcPr>
            <w:tcW w:w="842" w:type="dxa"/>
            <w:tcBorders>
              <w:top w:val="nil"/>
              <w:left w:val="nil"/>
              <w:bottom w:val="nil"/>
              <w:right w:val="nil"/>
            </w:tcBorders>
            <w:shd w:val="clear" w:color="auto" w:fill="auto"/>
            <w:noWrap/>
            <w:vAlign w:val="bottom"/>
            <w:hideMark/>
          </w:tcPr>
          <w:p w14:paraId="5E9BE65A"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1.2%</w:t>
            </w:r>
          </w:p>
        </w:tc>
        <w:tc>
          <w:tcPr>
            <w:tcW w:w="842" w:type="dxa"/>
            <w:tcBorders>
              <w:top w:val="nil"/>
              <w:left w:val="nil"/>
              <w:bottom w:val="nil"/>
              <w:right w:val="nil"/>
            </w:tcBorders>
            <w:shd w:val="clear" w:color="auto" w:fill="auto"/>
            <w:noWrap/>
            <w:vAlign w:val="bottom"/>
            <w:hideMark/>
          </w:tcPr>
          <w:p w14:paraId="1DE10056"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0.8%</w:t>
            </w:r>
          </w:p>
        </w:tc>
        <w:tc>
          <w:tcPr>
            <w:tcW w:w="842" w:type="dxa"/>
            <w:tcBorders>
              <w:top w:val="nil"/>
              <w:left w:val="nil"/>
              <w:bottom w:val="nil"/>
              <w:right w:val="nil"/>
            </w:tcBorders>
            <w:shd w:val="clear" w:color="auto" w:fill="auto"/>
            <w:noWrap/>
            <w:vAlign w:val="bottom"/>
            <w:hideMark/>
          </w:tcPr>
          <w:p w14:paraId="5BD69D76"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0.8%</w:t>
            </w:r>
          </w:p>
        </w:tc>
      </w:tr>
      <w:tr w:rsidR="00F37359" w:rsidRPr="008615A5" w14:paraId="06910F4F" w14:textId="77777777" w:rsidTr="00A7504E">
        <w:trPr>
          <w:trHeight w:val="144"/>
        </w:trPr>
        <w:tc>
          <w:tcPr>
            <w:tcW w:w="3664" w:type="dxa"/>
            <w:tcBorders>
              <w:top w:val="nil"/>
              <w:left w:val="nil"/>
              <w:bottom w:val="nil"/>
              <w:right w:val="nil"/>
            </w:tcBorders>
            <w:shd w:val="clear" w:color="auto" w:fill="auto"/>
            <w:noWrap/>
            <w:vAlign w:val="bottom"/>
            <w:hideMark/>
          </w:tcPr>
          <w:p w14:paraId="2E9FF581"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Finance</w:t>
            </w:r>
          </w:p>
        </w:tc>
        <w:tc>
          <w:tcPr>
            <w:tcW w:w="842" w:type="dxa"/>
            <w:tcBorders>
              <w:top w:val="nil"/>
              <w:left w:val="nil"/>
              <w:bottom w:val="nil"/>
              <w:right w:val="nil"/>
            </w:tcBorders>
            <w:shd w:val="clear" w:color="auto" w:fill="auto"/>
            <w:noWrap/>
            <w:vAlign w:val="bottom"/>
            <w:hideMark/>
          </w:tcPr>
          <w:p w14:paraId="499A1F71"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1.4%</w:t>
            </w:r>
          </w:p>
        </w:tc>
        <w:tc>
          <w:tcPr>
            <w:tcW w:w="842" w:type="dxa"/>
            <w:tcBorders>
              <w:top w:val="nil"/>
              <w:left w:val="nil"/>
              <w:bottom w:val="nil"/>
              <w:right w:val="nil"/>
            </w:tcBorders>
            <w:shd w:val="clear" w:color="auto" w:fill="auto"/>
            <w:noWrap/>
            <w:vAlign w:val="bottom"/>
            <w:hideMark/>
          </w:tcPr>
          <w:p w14:paraId="38B51A20"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2.1%</w:t>
            </w:r>
          </w:p>
        </w:tc>
        <w:tc>
          <w:tcPr>
            <w:tcW w:w="842" w:type="dxa"/>
            <w:tcBorders>
              <w:top w:val="nil"/>
              <w:left w:val="nil"/>
              <w:bottom w:val="nil"/>
              <w:right w:val="nil"/>
            </w:tcBorders>
            <w:shd w:val="clear" w:color="auto" w:fill="auto"/>
            <w:noWrap/>
            <w:vAlign w:val="bottom"/>
            <w:hideMark/>
          </w:tcPr>
          <w:p w14:paraId="16B822EE"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1.2%</w:t>
            </w:r>
          </w:p>
        </w:tc>
        <w:tc>
          <w:tcPr>
            <w:tcW w:w="842" w:type="dxa"/>
            <w:tcBorders>
              <w:top w:val="nil"/>
              <w:left w:val="nil"/>
              <w:bottom w:val="nil"/>
              <w:right w:val="nil"/>
            </w:tcBorders>
            <w:shd w:val="clear" w:color="auto" w:fill="auto"/>
            <w:noWrap/>
            <w:vAlign w:val="bottom"/>
            <w:hideMark/>
          </w:tcPr>
          <w:p w14:paraId="3120CE1E"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0.5%</w:t>
            </w:r>
          </w:p>
        </w:tc>
        <w:tc>
          <w:tcPr>
            <w:tcW w:w="842" w:type="dxa"/>
            <w:tcBorders>
              <w:top w:val="nil"/>
              <w:left w:val="nil"/>
              <w:bottom w:val="nil"/>
              <w:right w:val="nil"/>
            </w:tcBorders>
            <w:shd w:val="clear" w:color="auto" w:fill="auto"/>
            <w:noWrap/>
            <w:vAlign w:val="bottom"/>
            <w:hideMark/>
          </w:tcPr>
          <w:p w14:paraId="52901D94"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0.4%</w:t>
            </w:r>
          </w:p>
        </w:tc>
        <w:tc>
          <w:tcPr>
            <w:tcW w:w="842" w:type="dxa"/>
            <w:tcBorders>
              <w:top w:val="nil"/>
              <w:left w:val="nil"/>
              <w:bottom w:val="nil"/>
              <w:right w:val="nil"/>
            </w:tcBorders>
            <w:shd w:val="clear" w:color="auto" w:fill="auto"/>
            <w:noWrap/>
            <w:vAlign w:val="bottom"/>
            <w:hideMark/>
          </w:tcPr>
          <w:p w14:paraId="7DCB97F2"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0.4%</w:t>
            </w:r>
          </w:p>
        </w:tc>
      </w:tr>
      <w:tr w:rsidR="00F37359" w:rsidRPr="008615A5" w14:paraId="606D3EF3" w14:textId="77777777" w:rsidTr="00A7504E">
        <w:trPr>
          <w:trHeight w:val="144"/>
        </w:trPr>
        <w:tc>
          <w:tcPr>
            <w:tcW w:w="3664" w:type="dxa"/>
            <w:tcBorders>
              <w:top w:val="nil"/>
              <w:left w:val="nil"/>
              <w:bottom w:val="nil"/>
              <w:right w:val="nil"/>
            </w:tcBorders>
            <w:shd w:val="clear" w:color="auto" w:fill="auto"/>
            <w:noWrap/>
            <w:vAlign w:val="bottom"/>
            <w:hideMark/>
          </w:tcPr>
          <w:p w14:paraId="06050EDD"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Business Services</w:t>
            </w:r>
          </w:p>
        </w:tc>
        <w:tc>
          <w:tcPr>
            <w:tcW w:w="842" w:type="dxa"/>
            <w:tcBorders>
              <w:top w:val="nil"/>
              <w:left w:val="nil"/>
              <w:bottom w:val="nil"/>
              <w:right w:val="nil"/>
            </w:tcBorders>
            <w:shd w:val="clear" w:color="auto" w:fill="auto"/>
            <w:noWrap/>
            <w:vAlign w:val="bottom"/>
            <w:hideMark/>
          </w:tcPr>
          <w:p w14:paraId="0B17DA81"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2.8%</w:t>
            </w:r>
          </w:p>
        </w:tc>
        <w:tc>
          <w:tcPr>
            <w:tcW w:w="842" w:type="dxa"/>
            <w:tcBorders>
              <w:top w:val="nil"/>
              <w:left w:val="nil"/>
              <w:bottom w:val="nil"/>
              <w:right w:val="nil"/>
            </w:tcBorders>
            <w:shd w:val="clear" w:color="auto" w:fill="auto"/>
            <w:noWrap/>
            <w:vAlign w:val="bottom"/>
            <w:hideMark/>
          </w:tcPr>
          <w:p w14:paraId="2D262C67"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2.7%</w:t>
            </w:r>
          </w:p>
        </w:tc>
        <w:tc>
          <w:tcPr>
            <w:tcW w:w="842" w:type="dxa"/>
            <w:tcBorders>
              <w:top w:val="nil"/>
              <w:left w:val="nil"/>
              <w:bottom w:val="nil"/>
              <w:right w:val="nil"/>
            </w:tcBorders>
            <w:shd w:val="clear" w:color="auto" w:fill="auto"/>
            <w:noWrap/>
            <w:vAlign w:val="bottom"/>
            <w:hideMark/>
          </w:tcPr>
          <w:p w14:paraId="2C824555"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2.6%</w:t>
            </w:r>
          </w:p>
        </w:tc>
        <w:tc>
          <w:tcPr>
            <w:tcW w:w="842" w:type="dxa"/>
            <w:tcBorders>
              <w:top w:val="nil"/>
              <w:left w:val="nil"/>
              <w:bottom w:val="nil"/>
              <w:right w:val="nil"/>
            </w:tcBorders>
            <w:shd w:val="clear" w:color="auto" w:fill="auto"/>
            <w:noWrap/>
            <w:vAlign w:val="bottom"/>
            <w:hideMark/>
          </w:tcPr>
          <w:p w14:paraId="1CAAA686"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1.6%</w:t>
            </w:r>
          </w:p>
        </w:tc>
        <w:tc>
          <w:tcPr>
            <w:tcW w:w="842" w:type="dxa"/>
            <w:tcBorders>
              <w:top w:val="nil"/>
              <w:left w:val="nil"/>
              <w:bottom w:val="nil"/>
              <w:right w:val="nil"/>
            </w:tcBorders>
            <w:shd w:val="clear" w:color="auto" w:fill="auto"/>
            <w:noWrap/>
            <w:vAlign w:val="bottom"/>
            <w:hideMark/>
          </w:tcPr>
          <w:p w14:paraId="59C31195"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1.1%</w:t>
            </w:r>
          </w:p>
        </w:tc>
        <w:tc>
          <w:tcPr>
            <w:tcW w:w="842" w:type="dxa"/>
            <w:tcBorders>
              <w:top w:val="nil"/>
              <w:left w:val="nil"/>
              <w:bottom w:val="nil"/>
              <w:right w:val="nil"/>
            </w:tcBorders>
            <w:shd w:val="clear" w:color="auto" w:fill="auto"/>
            <w:noWrap/>
            <w:vAlign w:val="bottom"/>
            <w:hideMark/>
          </w:tcPr>
          <w:p w14:paraId="2B867618"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1.1%</w:t>
            </w:r>
          </w:p>
        </w:tc>
      </w:tr>
      <w:tr w:rsidR="00F37359" w:rsidRPr="008615A5" w14:paraId="4C8D0961" w14:textId="77777777" w:rsidTr="00A7504E">
        <w:trPr>
          <w:trHeight w:val="144"/>
        </w:trPr>
        <w:tc>
          <w:tcPr>
            <w:tcW w:w="3664" w:type="dxa"/>
            <w:tcBorders>
              <w:top w:val="nil"/>
              <w:left w:val="nil"/>
              <w:bottom w:val="nil"/>
              <w:right w:val="nil"/>
            </w:tcBorders>
            <w:shd w:val="clear" w:color="auto" w:fill="auto"/>
            <w:noWrap/>
            <w:vAlign w:val="bottom"/>
            <w:hideMark/>
          </w:tcPr>
          <w:p w14:paraId="5A14CE03"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Leisure &amp; Hospitality</w:t>
            </w:r>
          </w:p>
        </w:tc>
        <w:tc>
          <w:tcPr>
            <w:tcW w:w="842" w:type="dxa"/>
            <w:tcBorders>
              <w:top w:val="nil"/>
              <w:left w:val="nil"/>
              <w:bottom w:val="nil"/>
              <w:right w:val="nil"/>
            </w:tcBorders>
            <w:shd w:val="clear" w:color="auto" w:fill="auto"/>
            <w:noWrap/>
            <w:vAlign w:val="bottom"/>
            <w:hideMark/>
          </w:tcPr>
          <w:p w14:paraId="6B302BD8"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2.3%</w:t>
            </w:r>
          </w:p>
        </w:tc>
        <w:tc>
          <w:tcPr>
            <w:tcW w:w="842" w:type="dxa"/>
            <w:tcBorders>
              <w:top w:val="nil"/>
              <w:left w:val="nil"/>
              <w:bottom w:val="nil"/>
              <w:right w:val="nil"/>
            </w:tcBorders>
            <w:shd w:val="clear" w:color="auto" w:fill="auto"/>
            <w:noWrap/>
            <w:vAlign w:val="bottom"/>
            <w:hideMark/>
          </w:tcPr>
          <w:p w14:paraId="320EE6BF"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2.1%</w:t>
            </w:r>
          </w:p>
        </w:tc>
        <w:tc>
          <w:tcPr>
            <w:tcW w:w="842" w:type="dxa"/>
            <w:tcBorders>
              <w:top w:val="nil"/>
              <w:left w:val="nil"/>
              <w:bottom w:val="nil"/>
              <w:right w:val="nil"/>
            </w:tcBorders>
            <w:shd w:val="clear" w:color="auto" w:fill="auto"/>
            <w:noWrap/>
            <w:vAlign w:val="bottom"/>
            <w:hideMark/>
          </w:tcPr>
          <w:p w14:paraId="00B6E8CF"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2.3%</w:t>
            </w:r>
          </w:p>
        </w:tc>
        <w:tc>
          <w:tcPr>
            <w:tcW w:w="842" w:type="dxa"/>
            <w:tcBorders>
              <w:top w:val="nil"/>
              <w:left w:val="nil"/>
              <w:bottom w:val="nil"/>
              <w:right w:val="nil"/>
            </w:tcBorders>
            <w:shd w:val="clear" w:color="auto" w:fill="auto"/>
            <w:noWrap/>
            <w:vAlign w:val="bottom"/>
            <w:hideMark/>
          </w:tcPr>
          <w:p w14:paraId="040E0241"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1.3%</w:t>
            </w:r>
          </w:p>
        </w:tc>
        <w:tc>
          <w:tcPr>
            <w:tcW w:w="842" w:type="dxa"/>
            <w:tcBorders>
              <w:top w:val="nil"/>
              <w:left w:val="nil"/>
              <w:bottom w:val="nil"/>
              <w:right w:val="nil"/>
            </w:tcBorders>
            <w:shd w:val="clear" w:color="auto" w:fill="auto"/>
            <w:noWrap/>
            <w:vAlign w:val="bottom"/>
            <w:hideMark/>
          </w:tcPr>
          <w:p w14:paraId="28791BCE"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0.5%</w:t>
            </w:r>
          </w:p>
        </w:tc>
        <w:tc>
          <w:tcPr>
            <w:tcW w:w="842" w:type="dxa"/>
            <w:tcBorders>
              <w:top w:val="nil"/>
              <w:left w:val="nil"/>
              <w:bottom w:val="nil"/>
              <w:right w:val="nil"/>
            </w:tcBorders>
            <w:shd w:val="clear" w:color="auto" w:fill="auto"/>
            <w:noWrap/>
            <w:vAlign w:val="bottom"/>
            <w:hideMark/>
          </w:tcPr>
          <w:p w14:paraId="492C88E8"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0.3%</w:t>
            </w:r>
          </w:p>
        </w:tc>
      </w:tr>
      <w:tr w:rsidR="00F37359" w:rsidRPr="008615A5" w14:paraId="64CC2B1B" w14:textId="77777777" w:rsidTr="00A7504E">
        <w:trPr>
          <w:trHeight w:val="144"/>
        </w:trPr>
        <w:tc>
          <w:tcPr>
            <w:tcW w:w="3664" w:type="dxa"/>
            <w:tcBorders>
              <w:top w:val="nil"/>
              <w:left w:val="nil"/>
              <w:bottom w:val="nil"/>
              <w:right w:val="nil"/>
            </w:tcBorders>
            <w:shd w:val="clear" w:color="auto" w:fill="auto"/>
            <w:noWrap/>
            <w:vAlign w:val="bottom"/>
            <w:hideMark/>
          </w:tcPr>
          <w:p w14:paraId="59ADAF58"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Retail</w:t>
            </w:r>
          </w:p>
        </w:tc>
        <w:tc>
          <w:tcPr>
            <w:tcW w:w="842" w:type="dxa"/>
            <w:tcBorders>
              <w:top w:val="nil"/>
              <w:left w:val="nil"/>
              <w:bottom w:val="nil"/>
              <w:right w:val="nil"/>
            </w:tcBorders>
            <w:shd w:val="clear" w:color="auto" w:fill="auto"/>
            <w:noWrap/>
            <w:vAlign w:val="bottom"/>
            <w:hideMark/>
          </w:tcPr>
          <w:p w14:paraId="772CAC64" w14:textId="7A4E2620" w:rsidR="00F37359" w:rsidRPr="008615A5" w:rsidRDefault="00AD37ED" w:rsidP="00F37359">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37359" w:rsidRPr="008615A5">
              <w:rPr>
                <w:rFonts w:ascii="Calibri" w:eastAsia="Times New Roman" w:hAnsi="Calibri" w:cs="Times New Roman"/>
                <w:color w:val="000000"/>
                <w:sz w:val="20"/>
                <w:szCs w:val="20"/>
              </w:rPr>
              <w:t>0.8%</w:t>
            </w:r>
            <w:r>
              <w:rPr>
                <w:rFonts w:ascii="Calibri" w:eastAsia="Times New Roman" w:hAnsi="Calibri" w:cs="Times New Roman"/>
                <w:color w:val="000000"/>
                <w:sz w:val="20"/>
                <w:szCs w:val="20"/>
              </w:rPr>
              <w:t>)</w:t>
            </w:r>
          </w:p>
        </w:tc>
        <w:tc>
          <w:tcPr>
            <w:tcW w:w="842" w:type="dxa"/>
            <w:tcBorders>
              <w:top w:val="nil"/>
              <w:left w:val="nil"/>
              <w:bottom w:val="nil"/>
              <w:right w:val="nil"/>
            </w:tcBorders>
            <w:shd w:val="clear" w:color="auto" w:fill="auto"/>
            <w:noWrap/>
            <w:vAlign w:val="bottom"/>
            <w:hideMark/>
          </w:tcPr>
          <w:p w14:paraId="07DE67FA" w14:textId="0873A112" w:rsidR="00F37359" w:rsidRPr="008615A5" w:rsidRDefault="00AD37ED" w:rsidP="00F37359">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37359" w:rsidRPr="008615A5">
              <w:rPr>
                <w:rFonts w:ascii="Calibri" w:eastAsia="Times New Roman" w:hAnsi="Calibri" w:cs="Times New Roman"/>
                <w:color w:val="000000"/>
                <w:sz w:val="20"/>
                <w:szCs w:val="20"/>
              </w:rPr>
              <w:t>1.0%</w:t>
            </w:r>
            <w:r>
              <w:rPr>
                <w:rFonts w:ascii="Calibri" w:eastAsia="Times New Roman" w:hAnsi="Calibri" w:cs="Times New Roman"/>
                <w:color w:val="000000"/>
                <w:sz w:val="20"/>
                <w:szCs w:val="20"/>
              </w:rPr>
              <w:t>)</w:t>
            </w:r>
          </w:p>
        </w:tc>
        <w:tc>
          <w:tcPr>
            <w:tcW w:w="842" w:type="dxa"/>
            <w:tcBorders>
              <w:top w:val="nil"/>
              <w:left w:val="nil"/>
              <w:bottom w:val="nil"/>
              <w:right w:val="nil"/>
            </w:tcBorders>
            <w:shd w:val="clear" w:color="auto" w:fill="auto"/>
            <w:noWrap/>
            <w:vAlign w:val="bottom"/>
            <w:hideMark/>
          </w:tcPr>
          <w:p w14:paraId="7A4787CE" w14:textId="39C85965" w:rsidR="00F37359" w:rsidRPr="008615A5" w:rsidRDefault="00AD37ED" w:rsidP="00F37359">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37359" w:rsidRPr="008615A5">
              <w:rPr>
                <w:rFonts w:ascii="Calibri" w:eastAsia="Times New Roman" w:hAnsi="Calibri" w:cs="Times New Roman"/>
                <w:color w:val="000000"/>
                <w:sz w:val="20"/>
                <w:szCs w:val="20"/>
              </w:rPr>
              <w:t>0.9%</w:t>
            </w:r>
            <w:r>
              <w:rPr>
                <w:rFonts w:ascii="Calibri" w:eastAsia="Times New Roman" w:hAnsi="Calibri" w:cs="Times New Roman"/>
                <w:color w:val="000000"/>
                <w:sz w:val="20"/>
                <w:szCs w:val="20"/>
              </w:rPr>
              <w:t>)</w:t>
            </w:r>
          </w:p>
        </w:tc>
        <w:tc>
          <w:tcPr>
            <w:tcW w:w="842" w:type="dxa"/>
            <w:tcBorders>
              <w:top w:val="nil"/>
              <w:left w:val="nil"/>
              <w:bottom w:val="nil"/>
              <w:right w:val="nil"/>
            </w:tcBorders>
            <w:shd w:val="clear" w:color="auto" w:fill="auto"/>
            <w:noWrap/>
            <w:vAlign w:val="bottom"/>
            <w:hideMark/>
          </w:tcPr>
          <w:p w14:paraId="2531ED90" w14:textId="0317973F" w:rsidR="00F37359" w:rsidRPr="008615A5" w:rsidRDefault="00AD37ED" w:rsidP="00F37359">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37359" w:rsidRPr="008615A5">
              <w:rPr>
                <w:rFonts w:ascii="Calibri" w:eastAsia="Times New Roman" w:hAnsi="Calibri" w:cs="Times New Roman"/>
                <w:color w:val="000000"/>
                <w:sz w:val="20"/>
                <w:szCs w:val="20"/>
              </w:rPr>
              <w:t>1.7%</w:t>
            </w:r>
            <w:r>
              <w:rPr>
                <w:rFonts w:ascii="Calibri" w:eastAsia="Times New Roman" w:hAnsi="Calibri" w:cs="Times New Roman"/>
                <w:color w:val="000000"/>
                <w:sz w:val="20"/>
                <w:szCs w:val="20"/>
              </w:rPr>
              <w:t>)</w:t>
            </w:r>
          </w:p>
        </w:tc>
        <w:tc>
          <w:tcPr>
            <w:tcW w:w="842" w:type="dxa"/>
            <w:tcBorders>
              <w:top w:val="nil"/>
              <w:left w:val="nil"/>
              <w:bottom w:val="nil"/>
              <w:right w:val="nil"/>
            </w:tcBorders>
            <w:shd w:val="clear" w:color="auto" w:fill="auto"/>
            <w:noWrap/>
            <w:vAlign w:val="bottom"/>
            <w:hideMark/>
          </w:tcPr>
          <w:p w14:paraId="07736D61" w14:textId="62D7B90B" w:rsidR="00F37359" w:rsidRPr="008615A5" w:rsidRDefault="00AD37ED" w:rsidP="00F37359">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37359" w:rsidRPr="008615A5">
              <w:rPr>
                <w:rFonts w:ascii="Calibri" w:eastAsia="Times New Roman" w:hAnsi="Calibri" w:cs="Times New Roman"/>
                <w:color w:val="000000"/>
                <w:sz w:val="20"/>
                <w:szCs w:val="20"/>
              </w:rPr>
              <w:t>2.0%</w:t>
            </w:r>
            <w:r>
              <w:rPr>
                <w:rFonts w:ascii="Calibri" w:eastAsia="Times New Roman" w:hAnsi="Calibri" w:cs="Times New Roman"/>
                <w:color w:val="000000"/>
                <w:sz w:val="20"/>
                <w:szCs w:val="20"/>
              </w:rPr>
              <w:t>)</w:t>
            </w:r>
          </w:p>
        </w:tc>
        <w:tc>
          <w:tcPr>
            <w:tcW w:w="842" w:type="dxa"/>
            <w:tcBorders>
              <w:top w:val="nil"/>
              <w:left w:val="nil"/>
              <w:bottom w:val="nil"/>
              <w:right w:val="nil"/>
            </w:tcBorders>
            <w:shd w:val="clear" w:color="auto" w:fill="auto"/>
            <w:noWrap/>
            <w:vAlign w:val="bottom"/>
            <w:hideMark/>
          </w:tcPr>
          <w:p w14:paraId="7237E153" w14:textId="28B4E760" w:rsidR="00F37359" w:rsidRPr="008615A5" w:rsidRDefault="00AD37ED" w:rsidP="00F37359">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37359" w:rsidRPr="008615A5">
              <w:rPr>
                <w:rFonts w:ascii="Calibri" w:eastAsia="Times New Roman" w:hAnsi="Calibri" w:cs="Times New Roman"/>
                <w:color w:val="000000"/>
                <w:sz w:val="20"/>
                <w:szCs w:val="20"/>
              </w:rPr>
              <w:t>2.0%</w:t>
            </w:r>
            <w:r>
              <w:rPr>
                <w:rFonts w:ascii="Calibri" w:eastAsia="Times New Roman" w:hAnsi="Calibri" w:cs="Times New Roman"/>
                <w:color w:val="000000"/>
                <w:sz w:val="20"/>
                <w:szCs w:val="20"/>
              </w:rPr>
              <w:t>)</w:t>
            </w:r>
          </w:p>
        </w:tc>
      </w:tr>
      <w:tr w:rsidR="00F37359" w:rsidRPr="008615A5" w14:paraId="10F8CE14" w14:textId="77777777" w:rsidTr="00A7504E">
        <w:trPr>
          <w:trHeight w:val="144"/>
        </w:trPr>
        <w:tc>
          <w:tcPr>
            <w:tcW w:w="3664" w:type="dxa"/>
            <w:tcBorders>
              <w:top w:val="nil"/>
              <w:left w:val="nil"/>
              <w:bottom w:val="nil"/>
              <w:right w:val="nil"/>
            </w:tcBorders>
            <w:shd w:val="clear" w:color="auto" w:fill="auto"/>
            <w:noWrap/>
            <w:vAlign w:val="bottom"/>
            <w:hideMark/>
          </w:tcPr>
          <w:p w14:paraId="079E91B0"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Information</w:t>
            </w:r>
          </w:p>
        </w:tc>
        <w:tc>
          <w:tcPr>
            <w:tcW w:w="842" w:type="dxa"/>
            <w:tcBorders>
              <w:top w:val="nil"/>
              <w:left w:val="nil"/>
              <w:bottom w:val="nil"/>
              <w:right w:val="nil"/>
            </w:tcBorders>
            <w:shd w:val="clear" w:color="auto" w:fill="auto"/>
            <w:noWrap/>
            <w:vAlign w:val="bottom"/>
            <w:hideMark/>
          </w:tcPr>
          <w:p w14:paraId="6947CF79" w14:textId="273953F7" w:rsidR="00F37359" w:rsidRPr="008615A5" w:rsidRDefault="00AD37ED" w:rsidP="00F37359">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37359" w:rsidRPr="008615A5">
              <w:rPr>
                <w:rFonts w:ascii="Calibri" w:eastAsia="Times New Roman" w:hAnsi="Calibri" w:cs="Times New Roman"/>
                <w:color w:val="000000"/>
                <w:sz w:val="20"/>
                <w:szCs w:val="20"/>
              </w:rPr>
              <w:t>0.7%</w:t>
            </w:r>
            <w:r>
              <w:rPr>
                <w:rFonts w:ascii="Calibri" w:eastAsia="Times New Roman" w:hAnsi="Calibri" w:cs="Times New Roman"/>
                <w:color w:val="000000"/>
                <w:sz w:val="20"/>
                <w:szCs w:val="20"/>
              </w:rPr>
              <w:t>)</w:t>
            </w:r>
          </w:p>
        </w:tc>
        <w:tc>
          <w:tcPr>
            <w:tcW w:w="842" w:type="dxa"/>
            <w:tcBorders>
              <w:top w:val="nil"/>
              <w:left w:val="nil"/>
              <w:bottom w:val="nil"/>
              <w:right w:val="nil"/>
            </w:tcBorders>
            <w:shd w:val="clear" w:color="auto" w:fill="auto"/>
            <w:noWrap/>
            <w:vAlign w:val="bottom"/>
            <w:hideMark/>
          </w:tcPr>
          <w:p w14:paraId="02EF3A30"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0.0%</w:t>
            </w:r>
          </w:p>
        </w:tc>
        <w:tc>
          <w:tcPr>
            <w:tcW w:w="842" w:type="dxa"/>
            <w:tcBorders>
              <w:top w:val="nil"/>
              <w:left w:val="nil"/>
              <w:bottom w:val="nil"/>
              <w:right w:val="nil"/>
            </w:tcBorders>
            <w:shd w:val="clear" w:color="auto" w:fill="auto"/>
            <w:noWrap/>
            <w:vAlign w:val="bottom"/>
            <w:hideMark/>
          </w:tcPr>
          <w:p w14:paraId="2E980620"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1.4%</w:t>
            </w:r>
          </w:p>
        </w:tc>
        <w:tc>
          <w:tcPr>
            <w:tcW w:w="842" w:type="dxa"/>
            <w:tcBorders>
              <w:top w:val="nil"/>
              <w:left w:val="nil"/>
              <w:bottom w:val="nil"/>
              <w:right w:val="nil"/>
            </w:tcBorders>
            <w:shd w:val="clear" w:color="auto" w:fill="auto"/>
            <w:noWrap/>
            <w:vAlign w:val="bottom"/>
            <w:hideMark/>
          </w:tcPr>
          <w:p w14:paraId="192FC66E"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0.7%</w:t>
            </w:r>
          </w:p>
        </w:tc>
        <w:tc>
          <w:tcPr>
            <w:tcW w:w="842" w:type="dxa"/>
            <w:tcBorders>
              <w:top w:val="nil"/>
              <w:left w:val="nil"/>
              <w:bottom w:val="nil"/>
              <w:right w:val="nil"/>
            </w:tcBorders>
            <w:shd w:val="clear" w:color="auto" w:fill="auto"/>
            <w:noWrap/>
            <w:vAlign w:val="bottom"/>
            <w:hideMark/>
          </w:tcPr>
          <w:p w14:paraId="58DC3B68"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0.3%</w:t>
            </w:r>
          </w:p>
        </w:tc>
        <w:tc>
          <w:tcPr>
            <w:tcW w:w="842" w:type="dxa"/>
            <w:tcBorders>
              <w:top w:val="nil"/>
              <w:left w:val="nil"/>
              <w:bottom w:val="nil"/>
              <w:right w:val="nil"/>
            </w:tcBorders>
            <w:shd w:val="clear" w:color="auto" w:fill="auto"/>
            <w:noWrap/>
            <w:vAlign w:val="bottom"/>
            <w:hideMark/>
          </w:tcPr>
          <w:p w14:paraId="13DFEFA2"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0.3%</w:t>
            </w:r>
          </w:p>
        </w:tc>
      </w:tr>
      <w:tr w:rsidR="00F37359" w:rsidRPr="008615A5" w14:paraId="16D97A70" w14:textId="77777777" w:rsidTr="00A7504E">
        <w:trPr>
          <w:trHeight w:val="144"/>
        </w:trPr>
        <w:tc>
          <w:tcPr>
            <w:tcW w:w="3664" w:type="dxa"/>
            <w:tcBorders>
              <w:top w:val="nil"/>
              <w:left w:val="nil"/>
              <w:bottom w:val="single" w:sz="4" w:space="0" w:color="auto"/>
              <w:right w:val="nil"/>
            </w:tcBorders>
            <w:shd w:val="clear" w:color="auto" w:fill="auto"/>
            <w:noWrap/>
            <w:vAlign w:val="bottom"/>
            <w:hideMark/>
          </w:tcPr>
          <w:p w14:paraId="34069FE5" w14:textId="77777777" w:rsidR="00F37359" w:rsidRPr="008615A5" w:rsidRDefault="00F37359" w:rsidP="00F37359">
            <w:pPr>
              <w:spacing w:after="0"/>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Health Care &amp; Education</w:t>
            </w:r>
          </w:p>
        </w:tc>
        <w:tc>
          <w:tcPr>
            <w:tcW w:w="842" w:type="dxa"/>
            <w:tcBorders>
              <w:top w:val="nil"/>
              <w:left w:val="nil"/>
              <w:bottom w:val="single" w:sz="4" w:space="0" w:color="auto"/>
              <w:right w:val="nil"/>
            </w:tcBorders>
            <w:shd w:val="clear" w:color="auto" w:fill="auto"/>
            <w:noWrap/>
            <w:vAlign w:val="bottom"/>
            <w:hideMark/>
          </w:tcPr>
          <w:p w14:paraId="7D30EABB"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3.6%</w:t>
            </w:r>
          </w:p>
        </w:tc>
        <w:tc>
          <w:tcPr>
            <w:tcW w:w="842" w:type="dxa"/>
            <w:tcBorders>
              <w:top w:val="nil"/>
              <w:left w:val="nil"/>
              <w:bottom w:val="single" w:sz="4" w:space="0" w:color="auto"/>
              <w:right w:val="nil"/>
            </w:tcBorders>
            <w:shd w:val="clear" w:color="auto" w:fill="auto"/>
            <w:noWrap/>
            <w:vAlign w:val="bottom"/>
            <w:hideMark/>
          </w:tcPr>
          <w:p w14:paraId="58AA0044"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3.7%</w:t>
            </w:r>
          </w:p>
        </w:tc>
        <w:tc>
          <w:tcPr>
            <w:tcW w:w="842" w:type="dxa"/>
            <w:tcBorders>
              <w:top w:val="nil"/>
              <w:left w:val="nil"/>
              <w:bottom w:val="single" w:sz="4" w:space="0" w:color="auto"/>
              <w:right w:val="nil"/>
            </w:tcBorders>
            <w:shd w:val="clear" w:color="auto" w:fill="auto"/>
            <w:noWrap/>
            <w:vAlign w:val="bottom"/>
            <w:hideMark/>
          </w:tcPr>
          <w:p w14:paraId="0CD9261F"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4.0%</w:t>
            </w:r>
          </w:p>
        </w:tc>
        <w:tc>
          <w:tcPr>
            <w:tcW w:w="842" w:type="dxa"/>
            <w:tcBorders>
              <w:top w:val="nil"/>
              <w:left w:val="nil"/>
              <w:bottom w:val="single" w:sz="4" w:space="0" w:color="auto"/>
              <w:right w:val="nil"/>
            </w:tcBorders>
            <w:shd w:val="clear" w:color="auto" w:fill="auto"/>
            <w:noWrap/>
            <w:vAlign w:val="bottom"/>
            <w:hideMark/>
          </w:tcPr>
          <w:p w14:paraId="01981895"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4.2%</w:t>
            </w:r>
          </w:p>
        </w:tc>
        <w:tc>
          <w:tcPr>
            <w:tcW w:w="842" w:type="dxa"/>
            <w:tcBorders>
              <w:top w:val="nil"/>
              <w:left w:val="nil"/>
              <w:bottom w:val="single" w:sz="4" w:space="0" w:color="auto"/>
              <w:right w:val="nil"/>
            </w:tcBorders>
            <w:shd w:val="clear" w:color="auto" w:fill="auto"/>
            <w:noWrap/>
            <w:vAlign w:val="bottom"/>
            <w:hideMark/>
          </w:tcPr>
          <w:p w14:paraId="42F3AAC6"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4.4%</w:t>
            </w:r>
          </w:p>
        </w:tc>
        <w:tc>
          <w:tcPr>
            <w:tcW w:w="842" w:type="dxa"/>
            <w:tcBorders>
              <w:top w:val="nil"/>
              <w:left w:val="nil"/>
              <w:bottom w:val="single" w:sz="4" w:space="0" w:color="auto"/>
              <w:right w:val="nil"/>
            </w:tcBorders>
            <w:shd w:val="clear" w:color="auto" w:fill="auto"/>
            <w:noWrap/>
            <w:vAlign w:val="bottom"/>
            <w:hideMark/>
          </w:tcPr>
          <w:p w14:paraId="18EB52F0" w14:textId="77777777" w:rsidR="00F37359" w:rsidRPr="008615A5" w:rsidRDefault="00F37359" w:rsidP="00F37359">
            <w:pPr>
              <w:spacing w:after="0"/>
              <w:jc w:val="right"/>
              <w:rPr>
                <w:rFonts w:ascii="Calibri" w:eastAsia="Times New Roman" w:hAnsi="Calibri" w:cs="Times New Roman"/>
                <w:color w:val="000000"/>
                <w:sz w:val="20"/>
                <w:szCs w:val="20"/>
              </w:rPr>
            </w:pPr>
            <w:r w:rsidRPr="008615A5">
              <w:rPr>
                <w:rFonts w:ascii="Calibri" w:eastAsia="Times New Roman" w:hAnsi="Calibri" w:cs="Times New Roman"/>
                <w:color w:val="000000"/>
                <w:sz w:val="20"/>
                <w:szCs w:val="20"/>
              </w:rPr>
              <w:t>4.6%</w:t>
            </w:r>
          </w:p>
        </w:tc>
      </w:tr>
    </w:tbl>
    <w:p w14:paraId="110D3757" w14:textId="48F0908E" w:rsidR="00C4353D" w:rsidRPr="002871AC" w:rsidRDefault="00F73DC4" w:rsidP="00A812B8">
      <w:pPr>
        <w:rPr>
          <w:i/>
          <w:sz w:val="20"/>
          <w:szCs w:val="20"/>
        </w:rPr>
      </w:pPr>
      <w:r w:rsidRPr="002871AC">
        <w:rPr>
          <w:b/>
          <w:i/>
          <w:sz w:val="20"/>
          <w:szCs w:val="20"/>
        </w:rPr>
        <w:t>Source:</w:t>
      </w:r>
      <w:r w:rsidRPr="002871AC">
        <w:rPr>
          <w:i/>
          <w:sz w:val="20"/>
          <w:szCs w:val="20"/>
        </w:rPr>
        <w:t xml:space="preserve"> New York </w:t>
      </w:r>
      <w:r w:rsidR="00006474" w:rsidRPr="002871AC">
        <w:rPr>
          <w:i/>
          <w:sz w:val="20"/>
          <w:szCs w:val="20"/>
        </w:rPr>
        <w:t>City Council Finance Division</w:t>
      </w:r>
    </w:p>
    <w:p w14:paraId="4310AE7E" w14:textId="20E6CED9" w:rsidR="00CB7FEA" w:rsidRPr="002871AC" w:rsidRDefault="00C906A7" w:rsidP="00A7504E">
      <w:pPr>
        <w:spacing w:after="120"/>
      </w:pPr>
      <w:r w:rsidRPr="002871AC">
        <w:rPr>
          <w:b/>
        </w:rPr>
        <w:t>Wages.</w:t>
      </w:r>
      <w:r w:rsidRPr="002871AC">
        <w:t xml:space="preserve"> </w:t>
      </w:r>
      <w:r w:rsidR="00CB7FEA" w:rsidRPr="002871AC">
        <w:t>The average wage</w:t>
      </w:r>
      <w:r w:rsidR="006F2EE8" w:rsidRPr="002871AC">
        <w:t xml:space="preserve"> for New Yorkers</w:t>
      </w:r>
      <w:r w:rsidR="00CB7FEA" w:rsidRPr="002871AC">
        <w:t xml:space="preserve"> will continue to </w:t>
      </w:r>
      <w:r w:rsidR="006F2EE8" w:rsidRPr="002871AC">
        <w:t>rise</w:t>
      </w:r>
      <w:r w:rsidR="00CB7FEA" w:rsidRPr="002871AC">
        <w:t xml:space="preserve"> as employers compete for a shrinking labor pool.</w:t>
      </w:r>
      <w:r w:rsidR="006F2EE8" w:rsidRPr="002871AC">
        <w:t xml:space="preserve"> </w:t>
      </w:r>
      <w:r w:rsidR="00CB7FEA" w:rsidRPr="002871AC">
        <w:t>Excluding the volatile wage in securities, the average private-sector wage</w:t>
      </w:r>
      <w:r w:rsidR="000C7C8D" w:rsidRPr="002871AC">
        <w:t xml:space="preserve"> growth</w:t>
      </w:r>
      <w:r w:rsidR="00CB7FEA" w:rsidRPr="002871AC">
        <w:t xml:space="preserve"> is expected to remain </w:t>
      </w:r>
      <w:r w:rsidR="006F2EE8" w:rsidRPr="002871AC">
        <w:t>around</w:t>
      </w:r>
      <w:r w:rsidR="00CB7FEA" w:rsidRPr="002871AC">
        <w:t xml:space="preserve"> 3.5 percent throughout the Financial Plan. </w:t>
      </w:r>
    </w:p>
    <w:p w14:paraId="7E7B724D" w14:textId="46D93D59" w:rsidR="00953374" w:rsidRPr="002871AC" w:rsidRDefault="00C906A7" w:rsidP="00A7504E">
      <w:pPr>
        <w:spacing w:after="120"/>
      </w:pPr>
      <w:r w:rsidRPr="002871AC">
        <w:rPr>
          <w:b/>
        </w:rPr>
        <w:t xml:space="preserve">Real Estate. </w:t>
      </w:r>
      <w:r w:rsidR="00CB7FEA" w:rsidRPr="002871AC">
        <w:t xml:space="preserve">One of the </w:t>
      </w:r>
      <w:r w:rsidR="006F2EE8" w:rsidRPr="002871AC">
        <w:t>blockages</w:t>
      </w:r>
      <w:r w:rsidR="00CB7FEA" w:rsidRPr="002871AC">
        <w:t xml:space="preserve"> to urban economic growth is the reduced supply of available office space. </w:t>
      </w:r>
      <w:r w:rsidR="00B52558" w:rsidRPr="002871AC">
        <w:t>Fortunately</w:t>
      </w:r>
      <w:r w:rsidR="00CB7FEA" w:rsidRPr="002871AC">
        <w:t xml:space="preserve">, </w:t>
      </w:r>
      <w:r w:rsidR="006F2EE8" w:rsidRPr="002871AC">
        <w:t xml:space="preserve">at the present time, this </w:t>
      </w:r>
      <w:r w:rsidR="00A350CB" w:rsidRPr="002871AC">
        <w:t>is not</w:t>
      </w:r>
      <w:r w:rsidR="000C7C8D" w:rsidRPr="002871AC">
        <w:t xml:space="preserve"> </w:t>
      </w:r>
      <w:r w:rsidR="00CB7FEA" w:rsidRPr="002871AC">
        <w:t xml:space="preserve">the case in New York. Over 5.7 million square feet of new office construction in Manhattan will </w:t>
      </w:r>
      <w:r w:rsidR="006F2EE8" w:rsidRPr="002871AC">
        <w:t>come</w:t>
      </w:r>
      <w:r w:rsidR="00CB7FEA" w:rsidRPr="002871AC">
        <w:t xml:space="preserve"> on the market in 2018, the highest</w:t>
      </w:r>
      <w:r w:rsidR="006F2EE8" w:rsidRPr="002871AC">
        <w:t xml:space="preserve"> total</w:t>
      </w:r>
      <w:r w:rsidR="00CB7FEA" w:rsidRPr="002871AC">
        <w:t xml:space="preserve"> since 1986.</w:t>
      </w:r>
      <w:r w:rsidR="00A445C3" w:rsidRPr="002871AC">
        <w:rPr>
          <w:rStyle w:val="FootnoteReference"/>
        </w:rPr>
        <w:footnoteReference w:id="10"/>
      </w:r>
      <w:r w:rsidR="00CB7FEA" w:rsidRPr="002871AC">
        <w:t xml:space="preserve"> </w:t>
      </w:r>
      <w:r w:rsidR="006F2EE8" w:rsidRPr="002871AC">
        <w:t>As a result, v</w:t>
      </w:r>
      <w:r w:rsidR="00CB7FEA" w:rsidRPr="002871AC">
        <w:t>acancy rates will be pushed higher and asking rents</w:t>
      </w:r>
      <w:r w:rsidR="006F2EE8" w:rsidRPr="002871AC">
        <w:t xml:space="preserve"> will be</w:t>
      </w:r>
      <w:r w:rsidR="00CB7FEA" w:rsidRPr="002871AC">
        <w:t xml:space="preserve"> contained.</w:t>
      </w:r>
      <w:r w:rsidR="00CB7FEA" w:rsidRPr="002871AC">
        <w:rPr>
          <w:rStyle w:val="FootnoteReference"/>
        </w:rPr>
        <w:footnoteReference w:id="11"/>
      </w:r>
      <w:r w:rsidR="00CB7FEA" w:rsidRPr="002871AC">
        <w:t xml:space="preserve"> </w:t>
      </w:r>
    </w:p>
    <w:p w14:paraId="7352A45B" w14:textId="4CA5D75F" w:rsidR="00CB7FEA" w:rsidRPr="002871AC" w:rsidRDefault="00CB7FEA" w:rsidP="008615A5">
      <w:pPr>
        <w:spacing w:after="120"/>
      </w:pPr>
      <w:r w:rsidRPr="002871AC">
        <w:t xml:space="preserve">A more likely bottleneck going forward is the high cost of housing in the </w:t>
      </w:r>
      <w:r w:rsidR="009D3E98" w:rsidRPr="002871AC">
        <w:t>c</w:t>
      </w:r>
      <w:r w:rsidRPr="002871AC">
        <w:t xml:space="preserve">ity. </w:t>
      </w:r>
      <w:r w:rsidR="009D3E98" w:rsidRPr="002871AC">
        <w:t>For example, a</w:t>
      </w:r>
      <w:r w:rsidRPr="002871AC">
        <w:t>s of January 2018</w:t>
      </w:r>
      <w:r w:rsidR="009D3E98" w:rsidRPr="002871AC">
        <w:t>,</w:t>
      </w:r>
      <w:r w:rsidRPr="002871AC">
        <w:t xml:space="preserve"> the median rent of a one-bedroom apartment in Brooklyn was $2,650 a month.</w:t>
      </w:r>
      <w:r w:rsidRPr="002871AC">
        <w:rPr>
          <w:rStyle w:val="FootnoteReference"/>
        </w:rPr>
        <w:footnoteReference w:id="12"/>
      </w:r>
      <w:r w:rsidRPr="002871AC">
        <w:t xml:space="preserve">  </w:t>
      </w:r>
      <w:r w:rsidR="00BD26E0" w:rsidRPr="002871AC">
        <w:lastRenderedPageBreak/>
        <w:t xml:space="preserve">Workers and firms may increasingly prefer locations </w:t>
      </w:r>
      <w:r w:rsidR="0035470A" w:rsidRPr="002871AC">
        <w:t xml:space="preserve">other than New </w:t>
      </w:r>
      <w:r w:rsidR="009D3E98" w:rsidRPr="002871AC">
        <w:t>York that</w:t>
      </w:r>
      <w:r w:rsidR="0035470A" w:rsidRPr="002871AC">
        <w:t xml:space="preserve"> offer</w:t>
      </w:r>
      <w:r w:rsidR="00BD26E0" w:rsidRPr="002871AC">
        <w:t xml:space="preserve"> a more manageable cost of living.</w:t>
      </w:r>
    </w:p>
    <w:p w14:paraId="44782222" w14:textId="4C4EEAB7" w:rsidR="00C4353D" w:rsidRPr="008615A5" w:rsidRDefault="006E049B" w:rsidP="00F2473E">
      <w:pPr>
        <w:pStyle w:val="Heading2"/>
        <w:rPr>
          <w:sz w:val="26"/>
        </w:rPr>
      </w:pPr>
      <w:bookmarkStart w:id="5" w:name="_Toc507592266"/>
      <w:r w:rsidRPr="008615A5">
        <w:rPr>
          <w:sz w:val="26"/>
        </w:rPr>
        <w:t>Comparison to OMB</w:t>
      </w:r>
      <w:r w:rsidR="00821259" w:rsidRPr="008615A5">
        <w:rPr>
          <w:sz w:val="26"/>
        </w:rPr>
        <w:t>’s Forecast</w:t>
      </w:r>
      <w:bookmarkEnd w:id="5"/>
    </w:p>
    <w:p w14:paraId="4FC23B8E" w14:textId="2B125F78" w:rsidR="006E049B" w:rsidRDefault="00B413A5" w:rsidP="00F530A9">
      <w:pPr>
        <w:spacing w:after="120"/>
      </w:pPr>
      <w:r w:rsidRPr="00B413A5">
        <w:t>For the February</w:t>
      </w:r>
      <w:r w:rsidR="00821259">
        <w:t xml:space="preserve"> OMB</w:t>
      </w:r>
      <w:r w:rsidRPr="00B413A5">
        <w:t xml:space="preserve"> forecast, the pattern of OMB</w:t>
      </w:r>
      <w:r w:rsidR="00821259">
        <w:t>’s projected</w:t>
      </w:r>
      <w:r w:rsidRPr="00B413A5">
        <w:t xml:space="preserve"> employment growth diverges from that of the Finance Division. OMB expects total job growth to continue to slow throughout the Financial Plan, decelerating to 1.3 percent growth in 2018, 1.1 percent in 2019, and averaging 0.8 percent in the outyears.</w:t>
      </w:r>
      <w:r w:rsidR="00A445C3">
        <w:rPr>
          <w:rStyle w:val="FootnoteReference"/>
        </w:rPr>
        <w:footnoteReference w:id="13"/>
      </w:r>
      <w:r w:rsidRPr="00B413A5">
        <w:t xml:space="preserve"> The Finance Division, on the other hand, expects the pace of private-sector job growth to accelerate to 2.0 in 2018, return to 1.9 in 2019, and then slowdown precipitously, averaging 0.9 percent in the outyears. The Finance Division and OMB have similar patterns when it comes </w:t>
      </w:r>
      <w:r w:rsidR="000B3DF2">
        <w:t>to</w:t>
      </w:r>
      <w:r w:rsidRPr="00B413A5">
        <w:t xml:space="preserve"> average wage growth. OMB</w:t>
      </w:r>
      <w:r w:rsidR="00BC471C">
        <w:t>’s forecast</w:t>
      </w:r>
      <w:r w:rsidRPr="00B413A5">
        <w:t xml:space="preserve"> has private wage</w:t>
      </w:r>
      <w:r w:rsidR="00BC471C">
        <w:t>s</w:t>
      </w:r>
      <w:r w:rsidRPr="00B413A5">
        <w:t xml:space="preserve"> slowing from 4.1 percent in 2018 to 3.2 percent by 2022.</w:t>
      </w:r>
      <w:r w:rsidR="00A445C3">
        <w:rPr>
          <w:rStyle w:val="FootnoteReference"/>
        </w:rPr>
        <w:footnoteReference w:id="14"/>
      </w:r>
      <w:r w:rsidRPr="00B413A5">
        <w:t xml:space="preserve"> </w:t>
      </w:r>
      <w:r w:rsidR="00BC471C">
        <w:t>By comparison, t</w:t>
      </w:r>
      <w:r w:rsidRPr="00B413A5">
        <w:t>he Finance Division</w:t>
      </w:r>
      <w:r w:rsidR="00BC471C">
        <w:t>’s forecast</w:t>
      </w:r>
      <w:r w:rsidRPr="00B413A5">
        <w:t xml:space="preserve"> has the private sector average wage slowing from 3.7 percent to 3.2 percent for the same </w:t>
      </w:r>
      <w:r w:rsidR="00BC471C" w:rsidRPr="00B413A5">
        <w:t>period</w:t>
      </w:r>
      <w:r>
        <w:t>.</w:t>
      </w:r>
      <w:r w:rsidR="000C7C8D">
        <w:rPr>
          <w:rStyle w:val="FootnoteReference"/>
        </w:rPr>
        <w:footnoteReference w:id="15"/>
      </w:r>
    </w:p>
    <w:tbl>
      <w:tblPr>
        <w:tblW w:w="9270" w:type="dxa"/>
        <w:tblLook w:val="04A0" w:firstRow="1" w:lastRow="0" w:firstColumn="1" w:lastColumn="0" w:noHBand="0" w:noVBand="1"/>
      </w:tblPr>
      <w:tblGrid>
        <w:gridCol w:w="262"/>
        <w:gridCol w:w="262"/>
        <w:gridCol w:w="3500"/>
        <w:gridCol w:w="296"/>
        <w:gridCol w:w="810"/>
        <w:gridCol w:w="810"/>
        <w:gridCol w:w="810"/>
        <w:gridCol w:w="810"/>
        <w:gridCol w:w="810"/>
        <w:gridCol w:w="900"/>
      </w:tblGrid>
      <w:tr w:rsidR="00F530A9" w:rsidRPr="00174B74" w14:paraId="20F073C9" w14:textId="77777777" w:rsidTr="00F530A9">
        <w:trPr>
          <w:trHeight w:val="20"/>
        </w:trPr>
        <w:tc>
          <w:tcPr>
            <w:tcW w:w="9268" w:type="dxa"/>
            <w:gridSpan w:val="10"/>
            <w:tcBorders>
              <w:top w:val="single" w:sz="8" w:space="0" w:color="auto"/>
              <w:left w:val="nil"/>
              <w:bottom w:val="single" w:sz="4" w:space="0" w:color="auto"/>
              <w:right w:val="nil"/>
            </w:tcBorders>
            <w:shd w:val="clear" w:color="auto" w:fill="auto"/>
            <w:noWrap/>
            <w:vAlign w:val="bottom"/>
            <w:hideMark/>
          </w:tcPr>
          <w:p w14:paraId="7A8D7C8F" w14:textId="37551C7B" w:rsidR="00F530A9" w:rsidRPr="00174B74" w:rsidRDefault="00F530A9" w:rsidP="00174B74">
            <w:pPr>
              <w:spacing w:after="0"/>
              <w:jc w:val="left"/>
              <w:rPr>
                <w:rFonts w:ascii="Calibri" w:eastAsia="Times New Roman" w:hAnsi="Calibri" w:cs="Times New Roman"/>
                <w:b/>
                <w:bCs/>
                <w:color w:val="000000"/>
                <w:sz w:val="20"/>
                <w:szCs w:val="20"/>
              </w:rPr>
            </w:pPr>
            <w:bookmarkStart w:id="6" w:name="RANGE!D3:J26"/>
            <w:r w:rsidRPr="00174B74">
              <w:rPr>
                <w:rFonts w:ascii="Calibri" w:eastAsia="Times New Roman" w:hAnsi="Calibri" w:cs="Times New Roman"/>
                <w:b/>
                <w:bCs/>
                <w:color w:val="000000"/>
                <w:sz w:val="20"/>
                <w:szCs w:val="20"/>
              </w:rPr>
              <w:t>Forecast of Selected Economic Indicators: National and New York City, CY2017-2022</w:t>
            </w:r>
            <w:bookmarkEnd w:id="6"/>
          </w:p>
        </w:tc>
      </w:tr>
      <w:tr w:rsidR="00F530A9" w:rsidRPr="00174B74" w14:paraId="2823ACD1" w14:textId="77777777" w:rsidTr="00F530A9">
        <w:trPr>
          <w:trHeight w:val="20"/>
        </w:trPr>
        <w:tc>
          <w:tcPr>
            <w:tcW w:w="262" w:type="dxa"/>
            <w:tcBorders>
              <w:top w:val="single" w:sz="4" w:space="0" w:color="auto"/>
              <w:left w:val="nil"/>
              <w:bottom w:val="single" w:sz="4" w:space="0" w:color="auto"/>
              <w:right w:val="nil"/>
            </w:tcBorders>
            <w:shd w:val="clear" w:color="auto" w:fill="auto"/>
            <w:noWrap/>
            <w:vAlign w:val="bottom"/>
            <w:hideMark/>
          </w:tcPr>
          <w:p w14:paraId="0590D789"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262" w:type="dxa"/>
            <w:tcBorders>
              <w:top w:val="single" w:sz="4" w:space="0" w:color="auto"/>
              <w:left w:val="nil"/>
              <w:bottom w:val="single" w:sz="4" w:space="0" w:color="auto"/>
              <w:right w:val="nil"/>
            </w:tcBorders>
            <w:shd w:val="clear" w:color="auto" w:fill="auto"/>
            <w:noWrap/>
            <w:vAlign w:val="bottom"/>
            <w:hideMark/>
          </w:tcPr>
          <w:p w14:paraId="20A948E9"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3500" w:type="dxa"/>
            <w:tcBorders>
              <w:top w:val="single" w:sz="4" w:space="0" w:color="auto"/>
              <w:left w:val="nil"/>
              <w:bottom w:val="single" w:sz="4" w:space="0" w:color="auto"/>
              <w:right w:val="nil"/>
            </w:tcBorders>
            <w:shd w:val="clear" w:color="auto" w:fill="auto"/>
            <w:noWrap/>
            <w:vAlign w:val="bottom"/>
            <w:hideMark/>
          </w:tcPr>
          <w:p w14:paraId="195ED795"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296" w:type="dxa"/>
            <w:tcBorders>
              <w:top w:val="single" w:sz="4" w:space="0" w:color="auto"/>
              <w:left w:val="nil"/>
              <w:bottom w:val="single" w:sz="4" w:space="0" w:color="auto"/>
              <w:right w:val="nil"/>
            </w:tcBorders>
            <w:shd w:val="clear" w:color="auto" w:fill="auto"/>
            <w:noWrap/>
            <w:vAlign w:val="bottom"/>
            <w:hideMark/>
          </w:tcPr>
          <w:p w14:paraId="668126CC"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810" w:type="dxa"/>
            <w:tcBorders>
              <w:top w:val="single" w:sz="4" w:space="0" w:color="auto"/>
              <w:left w:val="nil"/>
              <w:bottom w:val="single" w:sz="4" w:space="0" w:color="auto"/>
              <w:right w:val="nil"/>
            </w:tcBorders>
            <w:shd w:val="clear" w:color="auto" w:fill="auto"/>
            <w:vAlign w:val="center"/>
            <w:hideMark/>
          </w:tcPr>
          <w:p w14:paraId="03BA5EBE" w14:textId="77777777" w:rsidR="00F530A9" w:rsidRPr="00174B74" w:rsidRDefault="00F530A9" w:rsidP="00F530A9">
            <w:pPr>
              <w:spacing w:after="0"/>
              <w:jc w:val="center"/>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CY17</w:t>
            </w:r>
          </w:p>
        </w:tc>
        <w:tc>
          <w:tcPr>
            <w:tcW w:w="810" w:type="dxa"/>
            <w:tcBorders>
              <w:top w:val="single" w:sz="4" w:space="0" w:color="auto"/>
              <w:left w:val="nil"/>
              <w:bottom w:val="single" w:sz="4" w:space="0" w:color="auto"/>
              <w:right w:val="nil"/>
            </w:tcBorders>
            <w:shd w:val="clear" w:color="auto" w:fill="auto"/>
            <w:vAlign w:val="center"/>
            <w:hideMark/>
          </w:tcPr>
          <w:p w14:paraId="1FD15174" w14:textId="77777777" w:rsidR="00F530A9" w:rsidRPr="00174B74" w:rsidRDefault="00F530A9" w:rsidP="00F530A9">
            <w:pPr>
              <w:spacing w:after="0"/>
              <w:jc w:val="center"/>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CY18</w:t>
            </w:r>
          </w:p>
        </w:tc>
        <w:tc>
          <w:tcPr>
            <w:tcW w:w="810" w:type="dxa"/>
            <w:tcBorders>
              <w:top w:val="single" w:sz="4" w:space="0" w:color="auto"/>
              <w:left w:val="nil"/>
              <w:bottom w:val="single" w:sz="4" w:space="0" w:color="auto"/>
              <w:right w:val="nil"/>
            </w:tcBorders>
            <w:shd w:val="clear" w:color="auto" w:fill="auto"/>
            <w:vAlign w:val="center"/>
            <w:hideMark/>
          </w:tcPr>
          <w:p w14:paraId="3C2E8BFC" w14:textId="77777777" w:rsidR="00F530A9" w:rsidRPr="00174B74" w:rsidRDefault="00F530A9" w:rsidP="00F530A9">
            <w:pPr>
              <w:spacing w:after="0"/>
              <w:jc w:val="center"/>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CY19</w:t>
            </w:r>
          </w:p>
        </w:tc>
        <w:tc>
          <w:tcPr>
            <w:tcW w:w="810" w:type="dxa"/>
            <w:tcBorders>
              <w:top w:val="single" w:sz="4" w:space="0" w:color="auto"/>
              <w:left w:val="nil"/>
              <w:bottom w:val="single" w:sz="4" w:space="0" w:color="auto"/>
              <w:right w:val="nil"/>
            </w:tcBorders>
            <w:shd w:val="clear" w:color="auto" w:fill="auto"/>
            <w:vAlign w:val="center"/>
            <w:hideMark/>
          </w:tcPr>
          <w:p w14:paraId="60BD08E7" w14:textId="77777777" w:rsidR="00F530A9" w:rsidRPr="00174B74" w:rsidRDefault="00F530A9" w:rsidP="00F530A9">
            <w:pPr>
              <w:spacing w:after="0"/>
              <w:jc w:val="center"/>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CY20</w:t>
            </w:r>
          </w:p>
        </w:tc>
        <w:tc>
          <w:tcPr>
            <w:tcW w:w="810" w:type="dxa"/>
            <w:tcBorders>
              <w:top w:val="single" w:sz="4" w:space="0" w:color="auto"/>
              <w:left w:val="nil"/>
              <w:bottom w:val="single" w:sz="4" w:space="0" w:color="auto"/>
              <w:right w:val="nil"/>
            </w:tcBorders>
            <w:shd w:val="clear" w:color="auto" w:fill="auto"/>
            <w:vAlign w:val="center"/>
            <w:hideMark/>
          </w:tcPr>
          <w:p w14:paraId="4F0B7543" w14:textId="77777777" w:rsidR="00F530A9" w:rsidRPr="00174B74" w:rsidRDefault="00F530A9" w:rsidP="00F530A9">
            <w:pPr>
              <w:spacing w:after="0"/>
              <w:jc w:val="center"/>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CY21</w:t>
            </w:r>
          </w:p>
        </w:tc>
        <w:tc>
          <w:tcPr>
            <w:tcW w:w="900" w:type="dxa"/>
            <w:tcBorders>
              <w:top w:val="single" w:sz="4" w:space="0" w:color="auto"/>
              <w:left w:val="nil"/>
              <w:bottom w:val="single" w:sz="4" w:space="0" w:color="auto"/>
              <w:right w:val="nil"/>
            </w:tcBorders>
            <w:shd w:val="clear" w:color="auto" w:fill="auto"/>
            <w:vAlign w:val="center"/>
            <w:hideMark/>
          </w:tcPr>
          <w:p w14:paraId="059E6209" w14:textId="77777777" w:rsidR="00F530A9" w:rsidRPr="00174B74" w:rsidRDefault="00F530A9" w:rsidP="00F530A9">
            <w:pPr>
              <w:spacing w:after="0"/>
              <w:jc w:val="center"/>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CY22</w:t>
            </w:r>
          </w:p>
        </w:tc>
      </w:tr>
      <w:tr w:rsidR="00F530A9" w:rsidRPr="00174B74" w14:paraId="38F156E4" w14:textId="77777777" w:rsidTr="00F530A9">
        <w:trPr>
          <w:trHeight w:val="20"/>
        </w:trPr>
        <w:tc>
          <w:tcPr>
            <w:tcW w:w="4024" w:type="dxa"/>
            <w:gridSpan w:val="3"/>
            <w:tcBorders>
              <w:top w:val="nil"/>
              <w:left w:val="nil"/>
              <w:bottom w:val="nil"/>
              <w:right w:val="nil"/>
            </w:tcBorders>
            <w:shd w:val="clear" w:color="auto" w:fill="auto"/>
            <w:noWrap/>
            <w:vAlign w:val="bottom"/>
            <w:hideMark/>
          </w:tcPr>
          <w:p w14:paraId="33B5FCFC"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NATIONAL ECONOMY*</w:t>
            </w:r>
          </w:p>
        </w:tc>
        <w:tc>
          <w:tcPr>
            <w:tcW w:w="296" w:type="dxa"/>
            <w:tcBorders>
              <w:top w:val="nil"/>
              <w:left w:val="nil"/>
              <w:bottom w:val="nil"/>
              <w:right w:val="nil"/>
            </w:tcBorders>
            <w:shd w:val="clear" w:color="auto" w:fill="auto"/>
            <w:noWrap/>
            <w:vAlign w:val="bottom"/>
            <w:hideMark/>
          </w:tcPr>
          <w:p w14:paraId="67B715E7"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75D02E42"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E8B9708" w14:textId="77777777" w:rsidR="00F530A9" w:rsidRPr="00174B74" w:rsidRDefault="00F530A9" w:rsidP="00174B74">
            <w:pPr>
              <w:spacing w:after="0"/>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C2DEDE3" w14:textId="77777777" w:rsidR="00F530A9" w:rsidRPr="00174B74" w:rsidRDefault="00F530A9" w:rsidP="00174B74">
            <w:pPr>
              <w:spacing w:after="0"/>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690C1174" w14:textId="77777777" w:rsidR="00F530A9" w:rsidRPr="00174B74" w:rsidRDefault="00F530A9" w:rsidP="00174B74">
            <w:pPr>
              <w:spacing w:after="0"/>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0F066FE0" w14:textId="77777777" w:rsidR="00F530A9" w:rsidRPr="00174B74" w:rsidRDefault="00F530A9" w:rsidP="00174B74">
            <w:pPr>
              <w:spacing w:after="0"/>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4FEAAF6" w14:textId="77777777" w:rsidR="00F530A9" w:rsidRPr="00174B74" w:rsidRDefault="00F530A9" w:rsidP="00174B74">
            <w:pPr>
              <w:spacing w:after="0"/>
              <w:jc w:val="center"/>
              <w:rPr>
                <w:rFonts w:ascii="Times New Roman" w:eastAsia="Times New Roman" w:hAnsi="Times New Roman" w:cs="Times New Roman"/>
                <w:sz w:val="20"/>
                <w:szCs w:val="20"/>
              </w:rPr>
            </w:pPr>
          </w:p>
        </w:tc>
      </w:tr>
      <w:tr w:rsidR="00F530A9" w:rsidRPr="00174B74" w14:paraId="6560610C" w14:textId="77777777" w:rsidTr="00F530A9">
        <w:trPr>
          <w:trHeight w:val="20"/>
        </w:trPr>
        <w:tc>
          <w:tcPr>
            <w:tcW w:w="262" w:type="dxa"/>
            <w:tcBorders>
              <w:top w:val="nil"/>
              <w:left w:val="nil"/>
              <w:bottom w:val="nil"/>
              <w:right w:val="nil"/>
            </w:tcBorders>
            <w:shd w:val="clear" w:color="auto" w:fill="auto"/>
            <w:noWrap/>
            <w:vAlign w:val="bottom"/>
            <w:hideMark/>
          </w:tcPr>
          <w:p w14:paraId="7F7A668F"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15BD84C5"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Real GDP %</w:t>
            </w:r>
          </w:p>
        </w:tc>
        <w:tc>
          <w:tcPr>
            <w:tcW w:w="296" w:type="dxa"/>
            <w:tcBorders>
              <w:top w:val="nil"/>
              <w:left w:val="nil"/>
              <w:bottom w:val="nil"/>
              <w:right w:val="nil"/>
            </w:tcBorders>
            <w:shd w:val="clear" w:color="auto" w:fill="auto"/>
            <w:noWrap/>
            <w:vAlign w:val="bottom"/>
            <w:hideMark/>
          </w:tcPr>
          <w:p w14:paraId="229B471F"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3A0423AA"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2.3</w:t>
            </w:r>
          </w:p>
        </w:tc>
        <w:tc>
          <w:tcPr>
            <w:tcW w:w="810" w:type="dxa"/>
            <w:tcBorders>
              <w:top w:val="nil"/>
              <w:left w:val="nil"/>
              <w:bottom w:val="nil"/>
              <w:right w:val="nil"/>
            </w:tcBorders>
            <w:shd w:val="clear" w:color="auto" w:fill="auto"/>
            <w:noWrap/>
            <w:vAlign w:val="bottom"/>
            <w:hideMark/>
          </w:tcPr>
          <w:p w14:paraId="4BD8FB76"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2.7</w:t>
            </w:r>
          </w:p>
        </w:tc>
        <w:tc>
          <w:tcPr>
            <w:tcW w:w="810" w:type="dxa"/>
            <w:tcBorders>
              <w:top w:val="nil"/>
              <w:left w:val="nil"/>
              <w:bottom w:val="nil"/>
              <w:right w:val="nil"/>
            </w:tcBorders>
            <w:shd w:val="clear" w:color="auto" w:fill="auto"/>
            <w:noWrap/>
            <w:vAlign w:val="bottom"/>
            <w:hideMark/>
          </w:tcPr>
          <w:p w14:paraId="5E33BB60"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2.7</w:t>
            </w:r>
          </w:p>
        </w:tc>
        <w:tc>
          <w:tcPr>
            <w:tcW w:w="810" w:type="dxa"/>
            <w:tcBorders>
              <w:top w:val="nil"/>
              <w:left w:val="nil"/>
              <w:bottom w:val="nil"/>
              <w:right w:val="nil"/>
            </w:tcBorders>
            <w:shd w:val="clear" w:color="auto" w:fill="auto"/>
            <w:noWrap/>
            <w:vAlign w:val="bottom"/>
            <w:hideMark/>
          </w:tcPr>
          <w:p w14:paraId="01A84618"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2.1</w:t>
            </w:r>
          </w:p>
        </w:tc>
        <w:tc>
          <w:tcPr>
            <w:tcW w:w="810" w:type="dxa"/>
            <w:tcBorders>
              <w:top w:val="nil"/>
              <w:left w:val="nil"/>
              <w:bottom w:val="nil"/>
              <w:right w:val="nil"/>
            </w:tcBorders>
            <w:shd w:val="clear" w:color="auto" w:fill="auto"/>
            <w:noWrap/>
            <w:vAlign w:val="bottom"/>
            <w:hideMark/>
          </w:tcPr>
          <w:p w14:paraId="2F95AFA2"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1.9</w:t>
            </w:r>
          </w:p>
        </w:tc>
        <w:tc>
          <w:tcPr>
            <w:tcW w:w="900" w:type="dxa"/>
            <w:tcBorders>
              <w:top w:val="nil"/>
              <w:left w:val="nil"/>
              <w:bottom w:val="nil"/>
              <w:right w:val="nil"/>
            </w:tcBorders>
            <w:shd w:val="clear" w:color="auto" w:fill="auto"/>
            <w:noWrap/>
            <w:vAlign w:val="bottom"/>
            <w:hideMark/>
          </w:tcPr>
          <w:p w14:paraId="1C7F9413"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1.9</w:t>
            </w:r>
          </w:p>
        </w:tc>
      </w:tr>
      <w:tr w:rsidR="00F530A9" w:rsidRPr="00174B74" w14:paraId="57DA21EB" w14:textId="77777777" w:rsidTr="00F530A9">
        <w:trPr>
          <w:trHeight w:val="20"/>
        </w:trPr>
        <w:tc>
          <w:tcPr>
            <w:tcW w:w="262" w:type="dxa"/>
            <w:tcBorders>
              <w:top w:val="nil"/>
              <w:left w:val="nil"/>
              <w:bottom w:val="nil"/>
              <w:right w:val="nil"/>
            </w:tcBorders>
            <w:shd w:val="clear" w:color="auto" w:fill="auto"/>
            <w:noWrap/>
            <w:vAlign w:val="bottom"/>
            <w:hideMark/>
          </w:tcPr>
          <w:p w14:paraId="3F5D4EBF"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79A2BA8B" w14:textId="77777777" w:rsidR="00F530A9" w:rsidRPr="00174B74" w:rsidRDefault="00F530A9" w:rsidP="00174B74">
            <w:pPr>
              <w:spacing w:after="0"/>
              <w:jc w:val="left"/>
              <w:rPr>
                <w:rFonts w:ascii="Calibri" w:eastAsia="Times New Roman" w:hAnsi="Calibri" w:cs="Times New Roman"/>
                <w:b/>
                <w:bCs/>
                <w:sz w:val="20"/>
                <w:szCs w:val="20"/>
              </w:rPr>
            </w:pPr>
            <w:r w:rsidRPr="00174B74">
              <w:rPr>
                <w:rFonts w:ascii="Calibri" w:eastAsia="Times New Roman" w:hAnsi="Calibri" w:cs="Times New Roman"/>
                <w:b/>
                <w:bCs/>
                <w:sz w:val="20"/>
                <w:szCs w:val="20"/>
              </w:rPr>
              <w:t>Private Employment</w:t>
            </w:r>
          </w:p>
        </w:tc>
        <w:tc>
          <w:tcPr>
            <w:tcW w:w="296" w:type="dxa"/>
            <w:tcBorders>
              <w:top w:val="nil"/>
              <w:left w:val="nil"/>
              <w:bottom w:val="nil"/>
              <w:right w:val="nil"/>
            </w:tcBorders>
            <w:shd w:val="clear" w:color="auto" w:fill="auto"/>
            <w:noWrap/>
            <w:vAlign w:val="bottom"/>
            <w:hideMark/>
          </w:tcPr>
          <w:p w14:paraId="72DB596F" w14:textId="77777777" w:rsidR="00F530A9" w:rsidRPr="00174B74" w:rsidRDefault="00F530A9" w:rsidP="00174B74">
            <w:pPr>
              <w:spacing w:after="0"/>
              <w:jc w:val="left"/>
              <w:rPr>
                <w:rFonts w:ascii="Calibri" w:eastAsia="Times New Roman" w:hAnsi="Calibri" w:cs="Times New Roman"/>
                <w:b/>
                <w:bCs/>
                <w:sz w:val="20"/>
                <w:szCs w:val="20"/>
              </w:rPr>
            </w:pPr>
          </w:p>
        </w:tc>
        <w:tc>
          <w:tcPr>
            <w:tcW w:w="810" w:type="dxa"/>
            <w:tcBorders>
              <w:top w:val="nil"/>
              <w:left w:val="nil"/>
              <w:bottom w:val="nil"/>
              <w:right w:val="nil"/>
            </w:tcBorders>
            <w:shd w:val="clear" w:color="auto" w:fill="auto"/>
            <w:noWrap/>
            <w:vAlign w:val="bottom"/>
            <w:hideMark/>
          </w:tcPr>
          <w:p w14:paraId="6402E9BD"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ECDDF96"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B0754DC"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034F4DD3"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4693939"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23C50193" w14:textId="77777777" w:rsidR="00F530A9" w:rsidRPr="00174B74" w:rsidRDefault="00F530A9" w:rsidP="00174B74">
            <w:pPr>
              <w:spacing w:after="0"/>
              <w:jc w:val="right"/>
              <w:rPr>
                <w:rFonts w:ascii="Times New Roman" w:eastAsia="Times New Roman" w:hAnsi="Times New Roman" w:cs="Times New Roman"/>
                <w:sz w:val="20"/>
                <w:szCs w:val="20"/>
              </w:rPr>
            </w:pPr>
          </w:p>
        </w:tc>
      </w:tr>
      <w:tr w:rsidR="00F530A9" w:rsidRPr="00174B74" w14:paraId="3F9968EE" w14:textId="77777777" w:rsidTr="00F530A9">
        <w:trPr>
          <w:trHeight w:val="20"/>
        </w:trPr>
        <w:tc>
          <w:tcPr>
            <w:tcW w:w="262" w:type="dxa"/>
            <w:tcBorders>
              <w:top w:val="nil"/>
              <w:left w:val="nil"/>
              <w:bottom w:val="nil"/>
              <w:right w:val="nil"/>
            </w:tcBorders>
            <w:shd w:val="clear" w:color="auto" w:fill="auto"/>
            <w:noWrap/>
            <w:vAlign w:val="bottom"/>
            <w:hideMark/>
          </w:tcPr>
          <w:p w14:paraId="426CD6E2"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647C762A"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15CE0FD6"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Level Change, '000</w:t>
            </w:r>
          </w:p>
        </w:tc>
        <w:tc>
          <w:tcPr>
            <w:tcW w:w="296" w:type="dxa"/>
            <w:tcBorders>
              <w:top w:val="nil"/>
              <w:left w:val="nil"/>
              <w:bottom w:val="nil"/>
              <w:right w:val="nil"/>
            </w:tcBorders>
            <w:shd w:val="clear" w:color="auto" w:fill="auto"/>
            <w:noWrap/>
            <w:vAlign w:val="bottom"/>
            <w:hideMark/>
          </w:tcPr>
          <w:p w14:paraId="1D4251C5" w14:textId="77777777" w:rsidR="00F530A9" w:rsidRPr="00174B74" w:rsidRDefault="00F530A9" w:rsidP="00174B74">
            <w:pPr>
              <w:spacing w:after="0"/>
              <w:jc w:val="left"/>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1447C1EB" w14:textId="5B8EDD03"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2,182 </w:t>
            </w:r>
          </w:p>
        </w:tc>
        <w:tc>
          <w:tcPr>
            <w:tcW w:w="810" w:type="dxa"/>
            <w:tcBorders>
              <w:top w:val="nil"/>
              <w:left w:val="nil"/>
              <w:bottom w:val="nil"/>
              <w:right w:val="nil"/>
            </w:tcBorders>
            <w:shd w:val="clear" w:color="auto" w:fill="auto"/>
            <w:noWrap/>
            <w:vAlign w:val="bottom"/>
            <w:hideMark/>
          </w:tcPr>
          <w:p w14:paraId="1FE71590" w14:textId="41C4BF32"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2,275 </w:t>
            </w:r>
          </w:p>
        </w:tc>
        <w:tc>
          <w:tcPr>
            <w:tcW w:w="810" w:type="dxa"/>
            <w:tcBorders>
              <w:top w:val="nil"/>
              <w:left w:val="nil"/>
              <w:bottom w:val="nil"/>
              <w:right w:val="nil"/>
            </w:tcBorders>
            <w:shd w:val="clear" w:color="auto" w:fill="auto"/>
            <w:noWrap/>
            <w:vAlign w:val="bottom"/>
            <w:hideMark/>
          </w:tcPr>
          <w:p w14:paraId="7F32E9D5" w14:textId="1C19AC78"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2,441 </w:t>
            </w:r>
          </w:p>
        </w:tc>
        <w:tc>
          <w:tcPr>
            <w:tcW w:w="810" w:type="dxa"/>
            <w:tcBorders>
              <w:top w:val="nil"/>
              <w:left w:val="nil"/>
              <w:bottom w:val="nil"/>
              <w:right w:val="nil"/>
            </w:tcBorders>
            <w:shd w:val="clear" w:color="auto" w:fill="auto"/>
            <w:noWrap/>
            <w:vAlign w:val="bottom"/>
            <w:hideMark/>
          </w:tcPr>
          <w:p w14:paraId="5F419D3E" w14:textId="2BD0B0AA"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1,638 </w:t>
            </w:r>
          </w:p>
        </w:tc>
        <w:tc>
          <w:tcPr>
            <w:tcW w:w="810" w:type="dxa"/>
            <w:tcBorders>
              <w:top w:val="nil"/>
              <w:left w:val="nil"/>
              <w:bottom w:val="nil"/>
              <w:right w:val="nil"/>
            </w:tcBorders>
            <w:shd w:val="clear" w:color="auto" w:fill="auto"/>
            <w:noWrap/>
            <w:vAlign w:val="bottom"/>
            <w:hideMark/>
          </w:tcPr>
          <w:p w14:paraId="733A3FF1" w14:textId="03CE0B98"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846 </w:t>
            </w:r>
          </w:p>
        </w:tc>
        <w:tc>
          <w:tcPr>
            <w:tcW w:w="900" w:type="dxa"/>
            <w:tcBorders>
              <w:top w:val="nil"/>
              <w:left w:val="nil"/>
              <w:bottom w:val="nil"/>
              <w:right w:val="nil"/>
            </w:tcBorders>
            <w:shd w:val="clear" w:color="auto" w:fill="auto"/>
            <w:noWrap/>
            <w:vAlign w:val="bottom"/>
            <w:hideMark/>
          </w:tcPr>
          <w:p w14:paraId="1CB3FA63" w14:textId="137F2D07" w:rsidR="00F530A9" w:rsidRPr="00174B74" w:rsidRDefault="00F530A9" w:rsidP="00174B74">
            <w:pPr>
              <w:spacing w:after="0"/>
              <w:jc w:val="righ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xml:space="preserve">653 </w:t>
            </w:r>
          </w:p>
        </w:tc>
      </w:tr>
      <w:tr w:rsidR="00F530A9" w:rsidRPr="00174B74" w14:paraId="3BFBE69F" w14:textId="77777777" w:rsidTr="00F530A9">
        <w:trPr>
          <w:trHeight w:val="20"/>
        </w:trPr>
        <w:tc>
          <w:tcPr>
            <w:tcW w:w="262" w:type="dxa"/>
            <w:tcBorders>
              <w:top w:val="nil"/>
              <w:left w:val="nil"/>
              <w:bottom w:val="nil"/>
              <w:right w:val="nil"/>
            </w:tcBorders>
            <w:shd w:val="clear" w:color="auto" w:fill="auto"/>
            <w:noWrap/>
            <w:vAlign w:val="bottom"/>
            <w:hideMark/>
          </w:tcPr>
          <w:p w14:paraId="759139EA"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5F67B161"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280CBB51"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Percent Change, %</w:t>
            </w:r>
          </w:p>
        </w:tc>
        <w:tc>
          <w:tcPr>
            <w:tcW w:w="296" w:type="dxa"/>
            <w:tcBorders>
              <w:top w:val="nil"/>
              <w:left w:val="nil"/>
              <w:bottom w:val="nil"/>
              <w:right w:val="nil"/>
            </w:tcBorders>
            <w:shd w:val="clear" w:color="auto" w:fill="auto"/>
            <w:noWrap/>
            <w:vAlign w:val="bottom"/>
            <w:hideMark/>
          </w:tcPr>
          <w:p w14:paraId="0B7AED8B" w14:textId="77777777" w:rsidR="00F530A9" w:rsidRPr="00174B74" w:rsidRDefault="00F530A9" w:rsidP="00174B74">
            <w:pPr>
              <w:spacing w:after="0"/>
              <w:jc w:val="left"/>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05F79C2E" w14:textId="632920CD"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1.8 </w:t>
            </w:r>
          </w:p>
        </w:tc>
        <w:tc>
          <w:tcPr>
            <w:tcW w:w="810" w:type="dxa"/>
            <w:tcBorders>
              <w:top w:val="nil"/>
              <w:left w:val="nil"/>
              <w:bottom w:val="nil"/>
              <w:right w:val="nil"/>
            </w:tcBorders>
            <w:shd w:val="clear" w:color="auto" w:fill="auto"/>
            <w:noWrap/>
            <w:vAlign w:val="bottom"/>
            <w:hideMark/>
          </w:tcPr>
          <w:p w14:paraId="072F4A69" w14:textId="5617B217"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1.8 </w:t>
            </w:r>
          </w:p>
        </w:tc>
        <w:tc>
          <w:tcPr>
            <w:tcW w:w="810" w:type="dxa"/>
            <w:tcBorders>
              <w:top w:val="nil"/>
              <w:left w:val="nil"/>
              <w:bottom w:val="nil"/>
              <w:right w:val="nil"/>
            </w:tcBorders>
            <w:shd w:val="clear" w:color="auto" w:fill="auto"/>
            <w:noWrap/>
            <w:vAlign w:val="bottom"/>
            <w:hideMark/>
          </w:tcPr>
          <w:p w14:paraId="3C464C60" w14:textId="067B8F0C"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1.9 </w:t>
            </w:r>
          </w:p>
        </w:tc>
        <w:tc>
          <w:tcPr>
            <w:tcW w:w="810" w:type="dxa"/>
            <w:tcBorders>
              <w:top w:val="nil"/>
              <w:left w:val="nil"/>
              <w:bottom w:val="nil"/>
              <w:right w:val="nil"/>
            </w:tcBorders>
            <w:shd w:val="clear" w:color="auto" w:fill="auto"/>
            <w:noWrap/>
            <w:vAlign w:val="bottom"/>
            <w:hideMark/>
          </w:tcPr>
          <w:p w14:paraId="6FECDB7C" w14:textId="249AED66"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1.3 </w:t>
            </w:r>
          </w:p>
        </w:tc>
        <w:tc>
          <w:tcPr>
            <w:tcW w:w="810" w:type="dxa"/>
            <w:tcBorders>
              <w:top w:val="nil"/>
              <w:left w:val="nil"/>
              <w:bottom w:val="nil"/>
              <w:right w:val="nil"/>
            </w:tcBorders>
            <w:shd w:val="clear" w:color="auto" w:fill="auto"/>
            <w:noWrap/>
            <w:vAlign w:val="bottom"/>
            <w:hideMark/>
          </w:tcPr>
          <w:p w14:paraId="6CAD115D" w14:textId="0EF42DDB"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0.6 </w:t>
            </w:r>
          </w:p>
        </w:tc>
        <w:tc>
          <w:tcPr>
            <w:tcW w:w="900" w:type="dxa"/>
            <w:tcBorders>
              <w:top w:val="nil"/>
              <w:left w:val="nil"/>
              <w:bottom w:val="nil"/>
              <w:right w:val="nil"/>
            </w:tcBorders>
            <w:shd w:val="clear" w:color="auto" w:fill="auto"/>
            <w:noWrap/>
            <w:vAlign w:val="bottom"/>
            <w:hideMark/>
          </w:tcPr>
          <w:p w14:paraId="46801D96" w14:textId="5E367AC9" w:rsidR="00F530A9" w:rsidRPr="00174B74" w:rsidRDefault="00F530A9" w:rsidP="00174B7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74B74">
              <w:rPr>
                <w:rFonts w:ascii="Calibri" w:eastAsia="Times New Roman" w:hAnsi="Calibri" w:cs="Times New Roman"/>
                <w:color w:val="000000"/>
                <w:sz w:val="20"/>
                <w:szCs w:val="20"/>
              </w:rPr>
              <w:t xml:space="preserve">0.5 </w:t>
            </w:r>
          </w:p>
        </w:tc>
      </w:tr>
      <w:tr w:rsidR="00F530A9" w:rsidRPr="00174B74" w14:paraId="32C48C98" w14:textId="77777777" w:rsidTr="00F530A9">
        <w:trPr>
          <w:trHeight w:val="20"/>
        </w:trPr>
        <w:tc>
          <w:tcPr>
            <w:tcW w:w="262" w:type="dxa"/>
            <w:tcBorders>
              <w:top w:val="nil"/>
              <w:left w:val="nil"/>
              <w:bottom w:val="nil"/>
              <w:right w:val="nil"/>
            </w:tcBorders>
            <w:shd w:val="clear" w:color="auto" w:fill="auto"/>
            <w:noWrap/>
            <w:vAlign w:val="bottom"/>
            <w:hideMark/>
          </w:tcPr>
          <w:p w14:paraId="1683600F"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4908CF67"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Unemployment Rate, %</w:t>
            </w:r>
          </w:p>
        </w:tc>
        <w:tc>
          <w:tcPr>
            <w:tcW w:w="296" w:type="dxa"/>
            <w:tcBorders>
              <w:top w:val="nil"/>
              <w:left w:val="nil"/>
              <w:bottom w:val="nil"/>
              <w:right w:val="nil"/>
            </w:tcBorders>
            <w:shd w:val="clear" w:color="auto" w:fill="auto"/>
            <w:noWrap/>
            <w:vAlign w:val="bottom"/>
            <w:hideMark/>
          </w:tcPr>
          <w:p w14:paraId="720985D8"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7260B118" w14:textId="3E40B84E"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4.4 </w:t>
            </w:r>
          </w:p>
        </w:tc>
        <w:tc>
          <w:tcPr>
            <w:tcW w:w="810" w:type="dxa"/>
            <w:tcBorders>
              <w:top w:val="nil"/>
              <w:left w:val="nil"/>
              <w:bottom w:val="nil"/>
              <w:right w:val="nil"/>
            </w:tcBorders>
            <w:shd w:val="clear" w:color="auto" w:fill="auto"/>
            <w:noWrap/>
            <w:vAlign w:val="bottom"/>
            <w:hideMark/>
          </w:tcPr>
          <w:p w14:paraId="0276C8DA" w14:textId="7FCEDC98"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 xml:space="preserve">4.0 </w:t>
            </w:r>
          </w:p>
        </w:tc>
        <w:tc>
          <w:tcPr>
            <w:tcW w:w="810" w:type="dxa"/>
            <w:tcBorders>
              <w:top w:val="nil"/>
              <w:left w:val="nil"/>
              <w:bottom w:val="nil"/>
              <w:right w:val="nil"/>
            </w:tcBorders>
            <w:shd w:val="clear" w:color="auto" w:fill="auto"/>
            <w:noWrap/>
            <w:vAlign w:val="bottom"/>
            <w:hideMark/>
          </w:tcPr>
          <w:p w14:paraId="220412A9" w14:textId="54737349"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 xml:space="preserve">3.6 </w:t>
            </w:r>
          </w:p>
        </w:tc>
        <w:tc>
          <w:tcPr>
            <w:tcW w:w="810" w:type="dxa"/>
            <w:tcBorders>
              <w:top w:val="nil"/>
              <w:left w:val="nil"/>
              <w:bottom w:val="nil"/>
              <w:right w:val="nil"/>
            </w:tcBorders>
            <w:shd w:val="clear" w:color="auto" w:fill="auto"/>
            <w:noWrap/>
            <w:vAlign w:val="bottom"/>
            <w:hideMark/>
          </w:tcPr>
          <w:p w14:paraId="114CB178" w14:textId="6DD0492B"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3.6 </w:t>
            </w:r>
          </w:p>
        </w:tc>
        <w:tc>
          <w:tcPr>
            <w:tcW w:w="810" w:type="dxa"/>
            <w:tcBorders>
              <w:top w:val="nil"/>
              <w:left w:val="nil"/>
              <w:bottom w:val="nil"/>
              <w:right w:val="nil"/>
            </w:tcBorders>
            <w:shd w:val="clear" w:color="auto" w:fill="auto"/>
            <w:noWrap/>
            <w:vAlign w:val="bottom"/>
            <w:hideMark/>
          </w:tcPr>
          <w:p w14:paraId="46410B6E" w14:textId="0EB1A2A7"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3.7 </w:t>
            </w:r>
          </w:p>
        </w:tc>
        <w:tc>
          <w:tcPr>
            <w:tcW w:w="900" w:type="dxa"/>
            <w:tcBorders>
              <w:top w:val="nil"/>
              <w:left w:val="nil"/>
              <w:bottom w:val="nil"/>
              <w:right w:val="nil"/>
            </w:tcBorders>
            <w:shd w:val="clear" w:color="auto" w:fill="auto"/>
            <w:noWrap/>
            <w:vAlign w:val="bottom"/>
            <w:hideMark/>
          </w:tcPr>
          <w:p w14:paraId="486055B3" w14:textId="331E1F6A"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 xml:space="preserve">3.8 </w:t>
            </w:r>
          </w:p>
        </w:tc>
      </w:tr>
      <w:tr w:rsidR="00F530A9" w:rsidRPr="00174B74" w14:paraId="3C298E6F" w14:textId="77777777" w:rsidTr="00F530A9">
        <w:trPr>
          <w:trHeight w:val="20"/>
        </w:trPr>
        <w:tc>
          <w:tcPr>
            <w:tcW w:w="262" w:type="dxa"/>
            <w:tcBorders>
              <w:top w:val="nil"/>
              <w:left w:val="nil"/>
              <w:bottom w:val="nil"/>
              <w:right w:val="nil"/>
            </w:tcBorders>
            <w:shd w:val="clear" w:color="auto" w:fill="auto"/>
            <w:noWrap/>
            <w:vAlign w:val="bottom"/>
            <w:hideMark/>
          </w:tcPr>
          <w:p w14:paraId="2AD9CE0A"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00C21D7E" w14:textId="77777777" w:rsidR="00F530A9" w:rsidRPr="00174B74" w:rsidRDefault="00F530A9" w:rsidP="00174B74">
            <w:pPr>
              <w:spacing w:after="0"/>
              <w:jc w:val="left"/>
              <w:rPr>
                <w:rFonts w:ascii="Calibri" w:eastAsia="Times New Roman" w:hAnsi="Calibri" w:cs="Times New Roman"/>
                <w:b/>
                <w:bCs/>
                <w:sz w:val="20"/>
                <w:szCs w:val="20"/>
              </w:rPr>
            </w:pPr>
            <w:r w:rsidRPr="00174B74">
              <w:rPr>
                <w:rFonts w:ascii="Calibri" w:eastAsia="Times New Roman" w:hAnsi="Calibri" w:cs="Times New Roman"/>
                <w:b/>
                <w:bCs/>
                <w:sz w:val="20"/>
                <w:szCs w:val="20"/>
              </w:rPr>
              <w:t>Total Wages %</w:t>
            </w:r>
          </w:p>
        </w:tc>
        <w:tc>
          <w:tcPr>
            <w:tcW w:w="296" w:type="dxa"/>
            <w:tcBorders>
              <w:top w:val="nil"/>
              <w:left w:val="nil"/>
              <w:bottom w:val="nil"/>
              <w:right w:val="nil"/>
            </w:tcBorders>
            <w:shd w:val="clear" w:color="auto" w:fill="auto"/>
            <w:noWrap/>
            <w:vAlign w:val="bottom"/>
            <w:hideMark/>
          </w:tcPr>
          <w:p w14:paraId="31F225AB" w14:textId="77777777" w:rsidR="00F530A9" w:rsidRPr="00174B74" w:rsidRDefault="00F530A9" w:rsidP="00174B74">
            <w:pPr>
              <w:spacing w:after="0"/>
              <w:jc w:val="left"/>
              <w:rPr>
                <w:rFonts w:ascii="Calibri" w:eastAsia="Times New Roman" w:hAnsi="Calibri" w:cs="Times New Roman"/>
                <w:b/>
                <w:bCs/>
                <w:sz w:val="20"/>
                <w:szCs w:val="20"/>
              </w:rPr>
            </w:pPr>
          </w:p>
        </w:tc>
        <w:tc>
          <w:tcPr>
            <w:tcW w:w="810" w:type="dxa"/>
            <w:tcBorders>
              <w:top w:val="nil"/>
              <w:left w:val="nil"/>
              <w:bottom w:val="nil"/>
              <w:right w:val="nil"/>
            </w:tcBorders>
            <w:shd w:val="clear" w:color="auto" w:fill="auto"/>
            <w:noWrap/>
            <w:vAlign w:val="bottom"/>
            <w:hideMark/>
          </w:tcPr>
          <w:p w14:paraId="319BE21F" w14:textId="67DF2F8B"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2.6 </w:t>
            </w:r>
          </w:p>
        </w:tc>
        <w:tc>
          <w:tcPr>
            <w:tcW w:w="810" w:type="dxa"/>
            <w:tcBorders>
              <w:top w:val="nil"/>
              <w:left w:val="nil"/>
              <w:bottom w:val="nil"/>
              <w:right w:val="nil"/>
            </w:tcBorders>
            <w:shd w:val="clear" w:color="auto" w:fill="auto"/>
            <w:noWrap/>
            <w:vAlign w:val="bottom"/>
            <w:hideMark/>
          </w:tcPr>
          <w:p w14:paraId="443E8BCD" w14:textId="3A99E1FA"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2.9 </w:t>
            </w:r>
          </w:p>
        </w:tc>
        <w:tc>
          <w:tcPr>
            <w:tcW w:w="810" w:type="dxa"/>
            <w:tcBorders>
              <w:top w:val="nil"/>
              <w:left w:val="nil"/>
              <w:bottom w:val="nil"/>
              <w:right w:val="nil"/>
            </w:tcBorders>
            <w:shd w:val="clear" w:color="auto" w:fill="auto"/>
            <w:noWrap/>
            <w:vAlign w:val="bottom"/>
            <w:hideMark/>
          </w:tcPr>
          <w:p w14:paraId="2E861313" w14:textId="7B4397EE"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3.4 </w:t>
            </w:r>
          </w:p>
        </w:tc>
        <w:tc>
          <w:tcPr>
            <w:tcW w:w="810" w:type="dxa"/>
            <w:tcBorders>
              <w:top w:val="nil"/>
              <w:left w:val="nil"/>
              <w:bottom w:val="nil"/>
              <w:right w:val="nil"/>
            </w:tcBorders>
            <w:shd w:val="clear" w:color="auto" w:fill="auto"/>
            <w:noWrap/>
            <w:vAlign w:val="bottom"/>
            <w:hideMark/>
          </w:tcPr>
          <w:p w14:paraId="689688BB" w14:textId="267DA31B"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3.4 </w:t>
            </w:r>
          </w:p>
        </w:tc>
        <w:tc>
          <w:tcPr>
            <w:tcW w:w="810" w:type="dxa"/>
            <w:tcBorders>
              <w:top w:val="nil"/>
              <w:left w:val="nil"/>
              <w:bottom w:val="nil"/>
              <w:right w:val="nil"/>
            </w:tcBorders>
            <w:shd w:val="clear" w:color="auto" w:fill="auto"/>
            <w:noWrap/>
            <w:vAlign w:val="bottom"/>
            <w:hideMark/>
          </w:tcPr>
          <w:p w14:paraId="72085D0D" w14:textId="2878CDFB"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3.5 </w:t>
            </w:r>
          </w:p>
        </w:tc>
        <w:tc>
          <w:tcPr>
            <w:tcW w:w="900" w:type="dxa"/>
            <w:tcBorders>
              <w:top w:val="nil"/>
              <w:left w:val="nil"/>
              <w:bottom w:val="nil"/>
              <w:right w:val="nil"/>
            </w:tcBorders>
            <w:shd w:val="clear" w:color="auto" w:fill="auto"/>
            <w:noWrap/>
            <w:vAlign w:val="bottom"/>
            <w:hideMark/>
          </w:tcPr>
          <w:p w14:paraId="45E6A3DF" w14:textId="731CE27C" w:rsidR="00F530A9" w:rsidRPr="00174B74" w:rsidRDefault="00F530A9" w:rsidP="00174B74">
            <w:pPr>
              <w:spacing w:after="0"/>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174B74">
              <w:rPr>
                <w:rFonts w:ascii="Calibri" w:eastAsia="Times New Roman" w:hAnsi="Calibri" w:cs="Times New Roman"/>
                <w:b/>
                <w:bCs/>
                <w:sz w:val="20"/>
                <w:szCs w:val="20"/>
              </w:rPr>
              <w:t xml:space="preserve">3.5 </w:t>
            </w:r>
          </w:p>
        </w:tc>
      </w:tr>
      <w:tr w:rsidR="00F530A9" w:rsidRPr="00174B74" w14:paraId="1E260E8B" w14:textId="77777777" w:rsidTr="00F530A9">
        <w:trPr>
          <w:trHeight w:val="20"/>
        </w:trPr>
        <w:tc>
          <w:tcPr>
            <w:tcW w:w="262" w:type="dxa"/>
            <w:tcBorders>
              <w:top w:val="nil"/>
              <w:left w:val="nil"/>
              <w:bottom w:val="nil"/>
              <w:right w:val="nil"/>
            </w:tcBorders>
            <w:shd w:val="clear" w:color="auto" w:fill="auto"/>
            <w:noWrap/>
            <w:vAlign w:val="bottom"/>
            <w:hideMark/>
          </w:tcPr>
          <w:p w14:paraId="30B351EC"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6A5AA924"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Interest rates %</w:t>
            </w:r>
          </w:p>
        </w:tc>
        <w:tc>
          <w:tcPr>
            <w:tcW w:w="296" w:type="dxa"/>
            <w:tcBorders>
              <w:top w:val="nil"/>
              <w:left w:val="nil"/>
              <w:bottom w:val="nil"/>
              <w:right w:val="nil"/>
            </w:tcBorders>
            <w:shd w:val="clear" w:color="auto" w:fill="auto"/>
            <w:noWrap/>
            <w:vAlign w:val="bottom"/>
            <w:hideMark/>
          </w:tcPr>
          <w:p w14:paraId="3317C530"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31F486A0"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0CDD66D8"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4BF2138"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36A3663"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CB55406"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43653EC6" w14:textId="77777777" w:rsidR="00F530A9" w:rsidRPr="00174B74" w:rsidRDefault="00F530A9" w:rsidP="00174B74">
            <w:pPr>
              <w:spacing w:after="0"/>
              <w:jc w:val="right"/>
              <w:rPr>
                <w:rFonts w:ascii="Times New Roman" w:eastAsia="Times New Roman" w:hAnsi="Times New Roman" w:cs="Times New Roman"/>
                <w:sz w:val="20"/>
                <w:szCs w:val="20"/>
              </w:rPr>
            </w:pPr>
          </w:p>
        </w:tc>
      </w:tr>
      <w:tr w:rsidR="00F530A9" w:rsidRPr="00174B74" w14:paraId="100393B9" w14:textId="77777777" w:rsidTr="00F530A9">
        <w:trPr>
          <w:trHeight w:val="20"/>
        </w:trPr>
        <w:tc>
          <w:tcPr>
            <w:tcW w:w="262" w:type="dxa"/>
            <w:tcBorders>
              <w:top w:val="nil"/>
              <w:left w:val="nil"/>
              <w:bottom w:val="nil"/>
              <w:right w:val="nil"/>
            </w:tcBorders>
            <w:shd w:val="clear" w:color="auto" w:fill="auto"/>
            <w:noWrap/>
            <w:vAlign w:val="bottom"/>
            <w:hideMark/>
          </w:tcPr>
          <w:p w14:paraId="298C8981"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0F83F5F4"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547F4E2F"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xml:space="preserve">  3-Month Treasury Bill</w:t>
            </w:r>
          </w:p>
        </w:tc>
        <w:tc>
          <w:tcPr>
            <w:tcW w:w="296" w:type="dxa"/>
            <w:tcBorders>
              <w:top w:val="nil"/>
              <w:left w:val="nil"/>
              <w:bottom w:val="nil"/>
              <w:right w:val="nil"/>
            </w:tcBorders>
            <w:shd w:val="clear" w:color="auto" w:fill="auto"/>
            <w:noWrap/>
            <w:vAlign w:val="bottom"/>
            <w:hideMark/>
          </w:tcPr>
          <w:p w14:paraId="32E731EC" w14:textId="77777777" w:rsidR="00F530A9" w:rsidRPr="00174B74" w:rsidRDefault="00F530A9" w:rsidP="00174B74">
            <w:pPr>
              <w:spacing w:after="0"/>
              <w:jc w:val="left"/>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A730432"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0.93</w:t>
            </w:r>
          </w:p>
        </w:tc>
        <w:tc>
          <w:tcPr>
            <w:tcW w:w="810" w:type="dxa"/>
            <w:tcBorders>
              <w:top w:val="nil"/>
              <w:left w:val="nil"/>
              <w:bottom w:val="nil"/>
              <w:right w:val="nil"/>
            </w:tcBorders>
            <w:shd w:val="clear" w:color="auto" w:fill="auto"/>
            <w:noWrap/>
            <w:vAlign w:val="bottom"/>
            <w:hideMark/>
          </w:tcPr>
          <w:p w14:paraId="5974EDB8"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1.82</w:t>
            </w:r>
          </w:p>
        </w:tc>
        <w:tc>
          <w:tcPr>
            <w:tcW w:w="810" w:type="dxa"/>
            <w:tcBorders>
              <w:top w:val="nil"/>
              <w:left w:val="nil"/>
              <w:bottom w:val="nil"/>
              <w:right w:val="nil"/>
            </w:tcBorders>
            <w:shd w:val="clear" w:color="auto" w:fill="auto"/>
            <w:noWrap/>
            <w:vAlign w:val="bottom"/>
            <w:hideMark/>
          </w:tcPr>
          <w:p w14:paraId="75D099D6"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2.58</w:t>
            </w:r>
          </w:p>
        </w:tc>
        <w:tc>
          <w:tcPr>
            <w:tcW w:w="810" w:type="dxa"/>
            <w:tcBorders>
              <w:top w:val="nil"/>
              <w:left w:val="nil"/>
              <w:bottom w:val="nil"/>
              <w:right w:val="nil"/>
            </w:tcBorders>
            <w:shd w:val="clear" w:color="auto" w:fill="auto"/>
            <w:noWrap/>
            <w:vAlign w:val="bottom"/>
            <w:hideMark/>
          </w:tcPr>
          <w:p w14:paraId="5EAA9975"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3.07</w:t>
            </w:r>
          </w:p>
        </w:tc>
        <w:tc>
          <w:tcPr>
            <w:tcW w:w="810" w:type="dxa"/>
            <w:tcBorders>
              <w:top w:val="nil"/>
              <w:left w:val="nil"/>
              <w:bottom w:val="nil"/>
              <w:right w:val="nil"/>
            </w:tcBorders>
            <w:shd w:val="clear" w:color="auto" w:fill="auto"/>
            <w:noWrap/>
            <w:vAlign w:val="bottom"/>
            <w:hideMark/>
          </w:tcPr>
          <w:p w14:paraId="51CDFAF0"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3.17</w:t>
            </w:r>
          </w:p>
        </w:tc>
        <w:tc>
          <w:tcPr>
            <w:tcW w:w="900" w:type="dxa"/>
            <w:tcBorders>
              <w:top w:val="nil"/>
              <w:left w:val="nil"/>
              <w:bottom w:val="nil"/>
              <w:right w:val="nil"/>
            </w:tcBorders>
            <w:shd w:val="clear" w:color="auto" w:fill="auto"/>
            <w:noWrap/>
            <w:vAlign w:val="bottom"/>
            <w:hideMark/>
          </w:tcPr>
          <w:p w14:paraId="6620B66E"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3.17</w:t>
            </w:r>
          </w:p>
        </w:tc>
      </w:tr>
      <w:tr w:rsidR="00F530A9" w:rsidRPr="00174B74" w14:paraId="054D8517" w14:textId="77777777" w:rsidTr="00F530A9">
        <w:trPr>
          <w:trHeight w:val="20"/>
        </w:trPr>
        <w:tc>
          <w:tcPr>
            <w:tcW w:w="262" w:type="dxa"/>
            <w:tcBorders>
              <w:top w:val="nil"/>
              <w:left w:val="nil"/>
              <w:bottom w:val="nil"/>
              <w:right w:val="nil"/>
            </w:tcBorders>
            <w:shd w:val="clear" w:color="auto" w:fill="auto"/>
            <w:noWrap/>
            <w:vAlign w:val="bottom"/>
            <w:hideMark/>
          </w:tcPr>
          <w:p w14:paraId="5D280740"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63AB1D0E"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36869720"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xml:space="preserve">  30-Year Conventional Mortgage Fixed</w:t>
            </w:r>
          </w:p>
        </w:tc>
        <w:tc>
          <w:tcPr>
            <w:tcW w:w="296" w:type="dxa"/>
            <w:tcBorders>
              <w:top w:val="nil"/>
              <w:left w:val="nil"/>
              <w:bottom w:val="nil"/>
              <w:right w:val="nil"/>
            </w:tcBorders>
            <w:shd w:val="clear" w:color="auto" w:fill="auto"/>
            <w:noWrap/>
            <w:vAlign w:val="bottom"/>
            <w:hideMark/>
          </w:tcPr>
          <w:p w14:paraId="646075D3" w14:textId="77777777" w:rsidR="00F530A9" w:rsidRPr="00174B74" w:rsidRDefault="00F530A9" w:rsidP="00174B74">
            <w:pPr>
              <w:spacing w:after="0"/>
              <w:jc w:val="left"/>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394F944"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3.99</w:t>
            </w:r>
          </w:p>
        </w:tc>
        <w:tc>
          <w:tcPr>
            <w:tcW w:w="810" w:type="dxa"/>
            <w:tcBorders>
              <w:top w:val="nil"/>
              <w:left w:val="nil"/>
              <w:bottom w:val="nil"/>
              <w:right w:val="nil"/>
            </w:tcBorders>
            <w:shd w:val="clear" w:color="auto" w:fill="auto"/>
            <w:noWrap/>
            <w:vAlign w:val="bottom"/>
            <w:hideMark/>
          </w:tcPr>
          <w:p w14:paraId="652B88D5"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4.53</w:t>
            </w:r>
          </w:p>
        </w:tc>
        <w:tc>
          <w:tcPr>
            <w:tcW w:w="810" w:type="dxa"/>
            <w:tcBorders>
              <w:top w:val="nil"/>
              <w:left w:val="nil"/>
              <w:bottom w:val="nil"/>
              <w:right w:val="nil"/>
            </w:tcBorders>
            <w:shd w:val="clear" w:color="auto" w:fill="auto"/>
            <w:noWrap/>
            <w:vAlign w:val="bottom"/>
            <w:hideMark/>
          </w:tcPr>
          <w:p w14:paraId="522D3921"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5.04</w:t>
            </w:r>
          </w:p>
        </w:tc>
        <w:tc>
          <w:tcPr>
            <w:tcW w:w="810" w:type="dxa"/>
            <w:tcBorders>
              <w:top w:val="nil"/>
              <w:left w:val="nil"/>
              <w:bottom w:val="nil"/>
              <w:right w:val="nil"/>
            </w:tcBorders>
            <w:shd w:val="clear" w:color="auto" w:fill="auto"/>
            <w:noWrap/>
            <w:vAlign w:val="bottom"/>
            <w:hideMark/>
          </w:tcPr>
          <w:p w14:paraId="2BF59A74"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5.30</w:t>
            </w:r>
          </w:p>
        </w:tc>
        <w:tc>
          <w:tcPr>
            <w:tcW w:w="810" w:type="dxa"/>
            <w:tcBorders>
              <w:top w:val="nil"/>
              <w:left w:val="nil"/>
              <w:bottom w:val="nil"/>
              <w:right w:val="nil"/>
            </w:tcBorders>
            <w:shd w:val="clear" w:color="auto" w:fill="auto"/>
            <w:noWrap/>
            <w:vAlign w:val="bottom"/>
            <w:hideMark/>
          </w:tcPr>
          <w:p w14:paraId="08332A76"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5.38</w:t>
            </w:r>
          </w:p>
        </w:tc>
        <w:tc>
          <w:tcPr>
            <w:tcW w:w="900" w:type="dxa"/>
            <w:tcBorders>
              <w:top w:val="nil"/>
              <w:left w:val="nil"/>
              <w:bottom w:val="nil"/>
              <w:right w:val="nil"/>
            </w:tcBorders>
            <w:shd w:val="clear" w:color="auto" w:fill="auto"/>
            <w:noWrap/>
            <w:vAlign w:val="bottom"/>
            <w:hideMark/>
          </w:tcPr>
          <w:p w14:paraId="2DF0ADEF"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5.38</w:t>
            </w:r>
          </w:p>
        </w:tc>
      </w:tr>
      <w:tr w:rsidR="00F530A9" w:rsidRPr="00174B74" w14:paraId="2EB48583" w14:textId="77777777" w:rsidTr="00F530A9">
        <w:trPr>
          <w:trHeight w:val="20"/>
        </w:trPr>
        <w:tc>
          <w:tcPr>
            <w:tcW w:w="262" w:type="dxa"/>
            <w:tcBorders>
              <w:top w:val="nil"/>
              <w:left w:val="nil"/>
              <w:bottom w:val="single" w:sz="4" w:space="0" w:color="auto"/>
              <w:right w:val="nil"/>
            </w:tcBorders>
            <w:shd w:val="clear" w:color="auto" w:fill="auto"/>
            <w:noWrap/>
            <w:vAlign w:val="bottom"/>
            <w:hideMark/>
          </w:tcPr>
          <w:p w14:paraId="76F54B45"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262" w:type="dxa"/>
            <w:tcBorders>
              <w:top w:val="nil"/>
              <w:left w:val="nil"/>
              <w:bottom w:val="single" w:sz="4" w:space="0" w:color="auto"/>
              <w:right w:val="nil"/>
            </w:tcBorders>
            <w:shd w:val="clear" w:color="auto" w:fill="auto"/>
            <w:noWrap/>
            <w:vAlign w:val="bottom"/>
            <w:hideMark/>
          </w:tcPr>
          <w:p w14:paraId="3B5591C6"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3500" w:type="dxa"/>
            <w:tcBorders>
              <w:top w:val="nil"/>
              <w:left w:val="nil"/>
              <w:bottom w:val="single" w:sz="4" w:space="0" w:color="auto"/>
              <w:right w:val="nil"/>
            </w:tcBorders>
            <w:shd w:val="clear" w:color="auto" w:fill="auto"/>
            <w:noWrap/>
            <w:vAlign w:val="bottom"/>
            <w:hideMark/>
          </w:tcPr>
          <w:p w14:paraId="5CC62E92"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296" w:type="dxa"/>
            <w:tcBorders>
              <w:top w:val="nil"/>
              <w:left w:val="nil"/>
              <w:bottom w:val="single" w:sz="4" w:space="0" w:color="auto"/>
              <w:right w:val="nil"/>
            </w:tcBorders>
            <w:shd w:val="clear" w:color="auto" w:fill="auto"/>
            <w:noWrap/>
            <w:vAlign w:val="bottom"/>
            <w:hideMark/>
          </w:tcPr>
          <w:p w14:paraId="39F5887B"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1B81B0AD" w14:textId="77777777" w:rsidR="00F530A9" w:rsidRPr="00174B74" w:rsidRDefault="00F530A9" w:rsidP="00174B74">
            <w:pPr>
              <w:spacing w:after="0"/>
              <w:jc w:val="righ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59639617" w14:textId="77777777" w:rsidR="00F530A9" w:rsidRPr="00174B74" w:rsidRDefault="00F530A9" w:rsidP="00174B74">
            <w:pPr>
              <w:spacing w:after="0"/>
              <w:jc w:val="righ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5C81E7DD" w14:textId="77777777" w:rsidR="00F530A9" w:rsidRPr="00174B74" w:rsidRDefault="00F530A9" w:rsidP="00174B74">
            <w:pPr>
              <w:spacing w:after="0"/>
              <w:jc w:val="righ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7EA8FE9F" w14:textId="77777777" w:rsidR="00F530A9" w:rsidRPr="00174B74" w:rsidRDefault="00F530A9" w:rsidP="00174B74">
            <w:pPr>
              <w:spacing w:after="0"/>
              <w:jc w:val="righ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343D04D6" w14:textId="77777777" w:rsidR="00F530A9" w:rsidRPr="00174B74" w:rsidRDefault="00F530A9" w:rsidP="00174B74">
            <w:pPr>
              <w:spacing w:after="0"/>
              <w:jc w:val="righ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14:paraId="23EF4EF3" w14:textId="77777777" w:rsidR="00F530A9" w:rsidRPr="00174B74" w:rsidRDefault="00F530A9" w:rsidP="00174B74">
            <w:pPr>
              <w:spacing w:after="0"/>
              <w:jc w:val="righ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r>
      <w:tr w:rsidR="00F530A9" w:rsidRPr="00174B74" w14:paraId="45BD1E9B" w14:textId="77777777" w:rsidTr="00F530A9">
        <w:trPr>
          <w:trHeight w:val="20"/>
        </w:trPr>
        <w:tc>
          <w:tcPr>
            <w:tcW w:w="4024" w:type="dxa"/>
            <w:gridSpan w:val="3"/>
            <w:tcBorders>
              <w:top w:val="nil"/>
              <w:left w:val="nil"/>
              <w:bottom w:val="nil"/>
              <w:right w:val="nil"/>
            </w:tcBorders>
            <w:shd w:val="clear" w:color="auto" w:fill="auto"/>
            <w:noWrap/>
            <w:vAlign w:val="bottom"/>
            <w:hideMark/>
          </w:tcPr>
          <w:p w14:paraId="7427F47E"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NEW YORK CITY ECONOMY</w:t>
            </w:r>
          </w:p>
        </w:tc>
        <w:tc>
          <w:tcPr>
            <w:tcW w:w="296" w:type="dxa"/>
            <w:tcBorders>
              <w:top w:val="nil"/>
              <w:left w:val="nil"/>
              <w:bottom w:val="nil"/>
              <w:right w:val="nil"/>
            </w:tcBorders>
            <w:shd w:val="clear" w:color="auto" w:fill="auto"/>
            <w:noWrap/>
            <w:vAlign w:val="bottom"/>
            <w:hideMark/>
          </w:tcPr>
          <w:p w14:paraId="3BDB866D"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6FC0D8CA"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449AB60"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9407498"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8C5A238"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0ECFE42"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EE3017E" w14:textId="77777777" w:rsidR="00F530A9" w:rsidRPr="00174B74" w:rsidRDefault="00F530A9" w:rsidP="00174B74">
            <w:pPr>
              <w:spacing w:after="0"/>
              <w:jc w:val="right"/>
              <w:rPr>
                <w:rFonts w:ascii="Times New Roman" w:eastAsia="Times New Roman" w:hAnsi="Times New Roman" w:cs="Times New Roman"/>
                <w:sz w:val="20"/>
                <w:szCs w:val="20"/>
              </w:rPr>
            </w:pPr>
          </w:p>
        </w:tc>
      </w:tr>
      <w:tr w:rsidR="00F530A9" w:rsidRPr="00174B74" w14:paraId="7F4FE1B0" w14:textId="77777777" w:rsidTr="00F530A9">
        <w:trPr>
          <w:trHeight w:val="20"/>
        </w:trPr>
        <w:tc>
          <w:tcPr>
            <w:tcW w:w="262" w:type="dxa"/>
            <w:tcBorders>
              <w:top w:val="nil"/>
              <w:left w:val="nil"/>
              <w:bottom w:val="nil"/>
              <w:right w:val="nil"/>
            </w:tcBorders>
            <w:shd w:val="clear" w:color="auto" w:fill="auto"/>
            <w:noWrap/>
            <w:vAlign w:val="bottom"/>
            <w:hideMark/>
          </w:tcPr>
          <w:p w14:paraId="169CE066"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1B596EE5"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Real GCP %*</w:t>
            </w:r>
          </w:p>
        </w:tc>
        <w:tc>
          <w:tcPr>
            <w:tcW w:w="296" w:type="dxa"/>
            <w:tcBorders>
              <w:top w:val="nil"/>
              <w:left w:val="nil"/>
              <w:bottom w:val="nil"/>
              <w:right w:val="nil"/>
            </w:tcBorders>
            <w:shd w:val="clear" w:color="auto" w:fill="auto"/>
            <w:noWrap/>
            <w:vAlign w:val="bottom"/>
            <w:hideMark/>
          </w:tcPr>
          <w:p w14:paraId="50FFF665"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069C6B2B" w14:textId="77777777" w:rsidR="00F530A9" w:rsidRPr="00174B74" w:rsidRDefault="00F530A9" w:rsidP="00174B74">
            <w:pPr>
              <w:spacing w:after="0"/>
              <w:jc w:val="righ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1.8</w:t>
            </w:r>
          </w:p>
        </w:tc>
        <w:tc>
          <w:tcPr>
            <w:tcW w:w="810" w:type="dxa"/>
            <w:tcBorders>
              <w:top w:val="nil"/>
              <w:left w:val="nil"/>
              <w:bottom w:val="nil"/>
              <w:right w:val="nil"/>
            </w:tcBorders>
            <w:shd w:val="clear" w:color="auto" w:fill="auto"/>
            <w:noWrap/>
            <w:vAlign w:val="bottom"/>
            <w:hideMark/>
          </w:tcPr>
          <w:p w14:paraId="39C8085E" w14:textId="77777777" w:rsidR="00F530A9" w:rsidRPr="00174B74" w:rsidRDefault="00F530A9" w:rsidP="00174B74">
            <w:pPr>
              <w:spacing w:after="0"/>
              <w:jc w:val="righ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2.5</w:t>
            </w:r>
          </w:p>
        </w:tc>
        <w:tc>
          <w:tcPr>
            <w:tcW w:w="810" w:type="dxa"/>
            <w:tcBorders>
              <w:top w:val="nil"/>
              <w:left w:val="nil"/>
              <w:bottom w:val="nil"/>
              <w:right w:val="nil"/>
            </w:tcBorders>
            <w:shd w:val="clear" w:color="auto" w:fill="auto"/>
            <w:noWrap/>
            <w:vAlign w:val="bottom"/>
            <w:hideMark/>
          </w:tcPr>
          <w:p w14:paraId="49F5DD62" w14:textId="77777777" w:rsidR="00F530A9" w:rsidRPr="00174B74" w:rsidRDefault="00F530A9" w:rsidP="00174B74">
            <w:pPr>
              <w:spacing w:after="0"/>
              <w:jc w:val="righ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2.3</w:t>
            </w:r>
          </w:p>
        </w:tc>
        <w:tc>
          <w:tcPr>
            <w:tcW w:w="810" w:type="dxa"/>
            <w:tcBorders>
              <w:top w:val="nil"/>
              <w:left w:val="nil"/>
              <w:bottom w:val="nil"/>
              <w:right w:val="nil"/>
            </w:tcBorders>
            <w:shd w:val="clear" w:color="auto" w:fill="auto"/>
            <w:noWrap/>
            <w:vAlign w:val="bottom"/>
            <w:hideMark/>
          </w:tcPr>
          <w:p w14:paraId="783ACD44" w14:textId="77777777" w:rsidR="00F530A9" w:rsidRPr="00174B74" w:rsidRDefault="00F530A9" w:rsidP="00174B74">
            <w:pPr>
              <w:spacing w:after="0"/>
              <w:jc w:val="righ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1.7</w:t>
            </w:r>
          </w:p>
        </w:tc>
        <w:tc>
          <w:tcPr>
            <w:tcW w:w="810" w:type="dxa"/>
            <w:tcBorders>
              <w:top w:val="nil"/>
              <w:left w:val="nil"/>
              <w:bottom w:val="nil"/>
              <w:right w:val="nil"/>
            </w:tcBorders>
            <w:shd w:val="clear" w:color="auto" w:fill="auto"/>
            <w:noWrap/>
            <w:vAlign w:val="bottom"/>
            <w:hideMark/>
          </w:tcPr>
          <w:p w14:paraId="02E1B3A6" w14:textId="77777777" w:rsidR="00F530A9" w:rsidRPr="00174B74" w:rsidRDefault="00F530A9" w:rsidP="00174B74">
            <w:pPr>
              <w:spacing w:after="0"/>
              <w:jc w:val="righ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1.6</w:t>
            </w:r>
          </w:p>
        </w:tc>
        <w:tc>
          <w:tcPr>
            <w:tcW w:w="900" w:type="dxa"/>
            <w:tcBorders>
              <w:top w:val="nil"/>
              <w:left w:val="nil"/>
              <w:bottom w:val="nil"/>
              <w:right w:val="nil"/>
            </w:tcBorders>
            <w:shd w:val="clear" w:color="auto" w:fill="auto"/>
            <w:noWrap/>
            <w:vAlign w:val="bottom"/>
            <w:hideMark/>
          </w:tcPr>
          <w:p w14:paraId="27B5AA38" w14:textId="77777777" w:rsidR="00F530A9" w:rsidRPr="00174B74" w:rsidRDefault="00F530A9" w:rsidP="00174B74">
            <w:pPr>
              <w:spacing w:after="0"/>
              <w:jc w:val="righ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1.7</w:t>
            </w:r>
          </w:p>
        </w:tc>
      </w:tr>
      <w:tr w:rsidR="00F530A9" w:rsidRPr="00174B74" w14:paraId="450BFE9D" w14:textId="77777777" w:rsidTr="00F530A9">
        <w:trPr>
          <w:trHeight w:val="20"/>
        </w:trPr>
        <w:tc>
          <w:tcPr>
            <w:tcW w:w="262" w:type="dxa"/>
            <w:tcBorders>
              <w:top w:val="nil"/>
              <w:left w:val="nil"/>
              <w:bottom w:val="nil"/>
              <w:right w:val="nil"/>
            </w:tcBorders>
            <w:shd w:val="clear" w:color="auto" w:fill="auto"/>
            <w:noWrap/>
            <w:vAlign w:val="bottom"/>
            <w:hideMark/>
          </w:tcPr>
          <w:p w14:paraId="1B5883BA"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2DC22E2B"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Private Employment</w:t>
            </w:r>
          </w:p>
        </w:tc>
        <w:tc>
          <w:tcPr>
            <w:tcW w:w="296" w:type="dxa"/>
            <w:tcBorders>
              <w:top w:val="nil"/>
              <w:left w:val="nil"/>
              <w:bottom w:val="nil"/>
              <w:right w:val="nil"/>
            </w:tcBorders>
            <w:shd w:val="clear" w:color="auto" w:fill="auto"/>
            <w:noWrap/>
            <w:vAlign w:val="bottom"/>
            <w:hideMark/>
          </w:tcPr>
          <w:p w14:paraId="0D71F8EC"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68672C48"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91AA8FC"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6ED1BBC9"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F1E11F7"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3FA42BFD"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8385B1C" w14:textId="77777777" w:rsidR="00F530A9" w:rsidRPr="00174B74" w:rsidRDefault="00F530A9" w:rsidP="00174B74">
            <w:pPr>
              <w:spacing w:after="0"/>
              <w:jc w:val="right"/>
              <w:rPr>
                <w:rFonts w:ascii="Times New Roman" w:eastAsia="Times New Roman" w:hAnsi="Times New Roman" w:cs="Times New Roman"/>
                <w:sz w:val="20"/>
                <w:szCs w:val="20"/>
              </w:rPr>
            </w:pPr>
          </w:p>
        </w:tc>
      </w:tr>
      <w:tr w:rsidR="00F530A9" w:rsidRPr="00174B74" w14:paraId="41E56E7F" w14:textId="77777777" w:rsidTr="00F530A9">
        <w:trPr>
          <w:trHeight w:val="20"/>
        </w:trPr>
        <w:tc>
          <w:tcPr>
            <w:tcW w:w="262" w:type="dxa"/>
            <w:tcBorders>
              <w:top w:val="nil"/>
              <w:left w:val="nil"/>
              <w:bottom w:val="nil"/>
              <w:right w:val="nil"/>
            </w:tcBorders>
            <w:shd w:val="clear" w:color="auto" w:fill="auto"/>
            <w:noWrap/>
            <w:vAlign w:val="bottom"/>
            <w:hideMark/>
          </w:tcPr>
          <w:p w14:paraId="704534AA"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2A025DF6"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37DB781D"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Level Change, '000</w:t>
            </w:r>
          </w:p>
        </w:tc>
        <w:tc>
          <w:tcPr>
            <w:tcW w:w="296" w:type="dxa"/>
            <w:tcBorders>
              <w:top w:val="nil"/>
              <w:left w:val="nil"/>
              <w:bottom w:val="nil"/>
              <w:right w:val="nil"/>
            </w:tcBorders>
            <w:shd w:val="clear" w:color="auto" w:fill="auto"/>
            <w:noWrap/>
            <w:vAlign w:val="bottom"/>
            <w:hideMark/>
          </w:tcPr>
          <w:p w14:paraId="799BD0E4" w14:textId="77777777" w:rsidR="00F530A9" w:rsidRPr="00174B74" w:rsidRDefault="00F530A9" w:rsidP="00174B74">
            <w:pPr>
              <w:spacing w:after="0"/>
              <w:jc w:val="left"/>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9A9AB4B" w14:textId="77777777" w:rsidR="00F530A9" w:rsidRPr="00174B74" w:rsidRDefault="00F530A9" w:rsidP="00174B74">
            <w:pPr>
              <w:spacing w:after="0"/>
              <w:jc w:val="right"/>
              <w:rPr>
                <w:rFonts w:ascii="Calibri" w:eastAsia="Times New Roman" w:hAnsi="Calibri" w:cs="Times New Roman"/>
                <w:color w:val="000000"/>
                <w:sz w:val="22"/>
              </w:rPr>
            </w:pPr>
            <w:r w:rsidRPr="00174B74">
              <w:rPr>
                <w:rFonts w:ascii="Calibri" w:eastAsia="Times New Roman" w:hAnsi="Calibri" w:cs="Times New Roman"/>
                <w:color w:val="000000"/>
                <w:sz w:val="22"/>
              </w:rPr>
              <w:t>71</w:t>
            </w:r>
          </w:p>
        </w:tc>
        <w:tc>
          <w:tcPr>
            <w:tcW w:w="810" w:type="dxa"/>
            <w:tcBorders>
              <w:top w:val="nil"/>
              <w:left w:val="nil"/>
              <w:bottom w:val="nil"/>
              <w:right w:val="nil"/>
            </w:tcBorders>
            <w:shd w:val="clear" w:color="auto" w:fill="auto"/>
            <w:noWrap/>
            <w:vAlign w:val="bottom"/>
            <w:hideMark/>
          </w:tcPr>
          <w:p w14:paraId="2D1D4ED0" w14:textId="77777777" w:rsidR="00F530A9" w:rsidRPr="00174B74" w:rsidRDefault="00F530A9" w:rsidP="00174B74">
            <w:pPr>
              <w:spacing w:after="0"/>
              <w:jc w:val="right"/>
              <w:rPr>
                <w:rFonts w:ascii="Calibri" w:eastAsia="Times New Roman" w:hAnsi="Calibri" w:cs="Times New Roman"/>
                <w:color w:val="000000"/>
                <w:sz w:val="22"/>
              </w:rPr>
            </w:pPr>
            <w:r w:rsidRPr="00174B74">
              <w:rPr>
                <w:rFonts w:ascii="Calibri" w:eastAsia="Times New Roman" w:hAnsi="Calibri" w:cs="Times New Roman"/>
                <w:color w:val="000000"/>
                <w:sz w:val="22"/>
              </w:rPr>
              <w:t>76</w:t>
            </w:r>
          </w:p>
        </w:tc>
        <w:tc>
          <w:tcPr>
            <w:tcW w:w="810" w:type="dxa"/>
            <w:tcBorders>
              <w:top w:val="nil"/>
              <w:left w:val="nil"/>
              <w:bottom w:val="nil"/>
              <w:right w:val="nil"/>
            </w:tcBorders>
            <w:shd w:val="clear" w:color="auto" w:fill="auto"/>
            <w:noWrap/>
            <w:vAlign w:val="bottom"/>
            <w:hideMark/>
          </w:tcPr>
          <w:p w14:paraId="586550FC" w14:textId="77777777" w:rsidR="00F530A9" w:rsidRPr="00174B74" w:rsidRDefault="00F530A9" w:rsidP="00174B74">
            <w:pPr>
              <w:spacing w:after="0"/>
              <w:jc w:val="right"/>
              <w:rPr>
                <w:rFonts w:ascii="Calibri" w:eastAsia="Times New Roman" w:hAnsi="Calibri" w:cs="Times New Roman"/>
                <w:color w:val="000000"/>
                <w:sz w:val="22"/>
              </w:rPr>
            </w:pPr>
            <w:r w:rsidRPr="00174B74">
              <w:rPr>
                <w:rFonts w:ascii="Calibri" w:eastAsia="Times New Roman" w:hAnsi="Calibri" w:cs="Times New Roman"/>
                <w:color w:val="000000"/>
                <w:sz w:val="22"/>
              </w:rPr>
              <w:t>74</w:t>
            </w:r>
          </w:p>
        </w:tc>
        <w:tc>
          <w:tcPr>
            <w:tcW w:w="810" w:type="dxa"/>
            <w:tcBorders>
              <w:top w:val="nil"/>
              <w:left w:val="nil"/>
              <w:bottom w:val="nil"/>
              <w:right w:val="nil"/>
            </w:tcBorders>
            <w:shd w:val="clear" w:color="auto" w:fill="auto"/>
            <w:noWrap/>
            <w:vAlign w:val="bottom"/>
            <w:hideMark/>
          </w:tcPr>
          <w:p w14:paraId="41E0C211" w14:textId="77777777" w:rsidR="00F530A9" w:rsidRPr="00174B74" w:rsidRDefault="00F530A9" w:rsidP="00174B74">
            <w:pPr>
              <w:spacing w:after="0"/>
              <w:jc w:val="right"/>
              <w:rPr>
                <w:rFonts w:ascii="Calibri" w:eastAsia="Times New Roman" w:hAnsi="Calibri" w:cs="Times New Roman"/>
                <w:color w:val="000000"/>
                <w:sz w:val="22"/>
              </w:rPr>
            </w:pPr>
            <w:r w:rsidRPr="00174B74">
              <w:rPr>
                <w:rFonts w:ascii="Calibri" w:eastAsia="Times New Roman" w:hAnsi="Calibri" w:cs="Times New Roman"/>
                <w:color w:val="000000"/>
                <w:sz w:val="22"/>
              </w:rPr>
              <w:t>48</w:t>
            </w:r>
          </w:p>
        </w:tc>
        <w:tc>
          <w:tcPr>
            <w:tcW w:w="810" w:type="dxa"/>
            <w:tcBorders>
              <w:top w:val="nil"/>
              <w:left w:val="nil"/>
              <w:bottom w:val="nil"/>
              <w:right w:val="nil"/>
            </w:tcBorders>
            <w:shd w:val="clear" w:color="auto" w:fill="auto"/>
            <w:noWrap/>
            <w:vAlign w:val="bottom"/>
            <w:hideMark/>
          </w:tcPr>
          <w:p w14:paraId="6681DCF1" w14:textId="77777777" w:rsidR="00F530A9" w:rsidRPr="00174B74" w:rsidRDefault="00F530A9" w:rsidP="00174B74">
            <w:pPr>
              <w:spacing w:after="0"/>
              <w:jc w:val="right"/>
              <w:rPr>
                <w:rFonts w:ascii="Calibri" w:eastAsia="Times New Roman" w:hAnsi="Calibri" w:cs="Times New Roman"/>
                <w:color w:val="000000"/>
                <w:sz w:val="22"/>
              </w:rPr>
            </w:pPr>
            <w:r w:rsidRPr="00174B74">
              <w:rPr>
                <w:rFonts w:ascii="Calibri" w:eastAsia="Times New Roman" w:hAnsi="Calibri" w:cs="Times New Roman"/>
                <w:color w:val="000000"/>
                <w:sz w:val="22"/>
              </w:rPr>
              <w:t>34</w:t>
            </w:r>
          </w:p>
        </w:tc>
        <w:tc>
          <w:tcPr>
            <w:tcW w:w="900" w:type="dxa"/>
            <w:tcBorders>
              <w:top w:val="nil"/>
              <w:left w:val="nil"/>
              <w:bottom w:val="nil"/>
              <w:right w:val="nil"/>
            </w:tcBorders>
            <w:shd w:val="clear" w:color="auto" w:fill="auto"/>
            <w:noWrap/>
            <w:vAlign w:val="bottom"/>
            <w:hideMark/>
          </w:tcPr>
          <w:p w14:paraId="1F05F06E" w14:textId="77777777" w:rsidR="00F530A9" w:rsidRPr="00174B74" w:rsidRDefault="00F530A9" w:rsidP="00174B74">
            <w:pPr>
              <w:spacing w:after="0"/>
              <w:jc w:val="right"/>
              <w:rPr>
                <w:rFonts w:ascii="Calibri" w:eastAsia="Times New Roman" w:hAnsi="Calibri" w:cs="Times New Roman"/>
                <w:color w:val="000000"/>
                <w:sz w:val="22"/>
              </w:rPr>
            </w:pPr>
            <w:r w:rsidRPr="00174B74">
              <w:rPr>
                <w:rFonts w:ascii="Calibri" w:eastAsia="Times New Roman" w:hAnsi="Calibri" w:cs="Times New Roman"/>
                <w:color w:val="000000"/>
                <w:sz w:val="22"/>
              </w:rPr>
              <w:t>34</w:t>
            </w:r>
          </w:p>
        </w:tc>
      </w:tr>
      <w:tr w:rsidR="00F530A9" w:rsidRPr="00174B74" w14:paraId="236D9DE4" w14:textId="77777777" w:rsidTr="00F530A9">
        <w:trPr>
          <w:trHeight w:val="20"/>
        </w:trPr>
        <w:tc>
          <w:tcPr>
            <w:tcW w:w="262" w:type="dxa"/>
            <w:tcBorders>
              <w:top w:val="nil"/>
              <w:left w:val="nil"/>
              <w:bottom w:val="nil"/>
              <w:right w:val="nil"/>
            </w:tcBorders>
            <w:shd w:val="clear" w:color="auto" w:fill="auto"/>
            <w:noWrap/>
            <w:vAlign w:val="bottom"/>
            <w:hideMark/>
          </w:tcPr>
          <w:p w14:paraId="643B4FD5"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5272918B"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1046624F"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Percent Change, %</w:t>
            </w:r>
          </w:p>
        </w:tc>
        <w:tc>
          <w:tcPr>
            <w:tcW w:w="296" w:type="dxa"/>
            <w:tcBorders>
              <w:top w:val="nil"/>
              <w:left w:val="nil"/>
              <w:bottom w:val="nil"/>
              <w:right w:val="nil"/>
            </w:tcBorders>
            <w:shd w:val="clear" w:color="auto" w:fill="auto"/>
            <w:noWrap/>
            <w:vAlign w:val="bottom"/>
            <w:hideMark/>
          </w:tcPr>
          <w:p w14:paraId="773617E2" w14:textId="77777777" w:rsidR="00F530A9" w:rsidRPr="00174B74" w:rsidRDefault="00F530A9" w:rsidP="00174B74">
            <w:pPr>
              <w:spacing w:after="0"/>
              <w:jc w:val="left"/>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713F393A"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2</w:t>
            </w:r>
          </w:p>
        </w:tc>
        <w:tc>
          <w:tcPr>
            <w:tcW w:w="810" w:type="dxa"/>
            <w:tcBorders>
              <w:top w:val="nil"/>
              <w:left w:val="nil"/>
              <w:bottom w:val="nil"/>
              <w:right w:val="nil"/>
            </w:tcBorders>
            <w:shd w:val="clear" w:color="auto" w:fill="auto"/>
            <w:noWrap/>
            <w:vAlign w:val="bottom"/>
            <w:hideMark/>
          </w:tcPr>
          <w:p w14:paraId="2183574A"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2.0</w:t>
            </w:r>
          </w:p>
        </w:tc>
        <w:tc>
          <w:tcPr>
            <w:tcW w:w="810" w:type="dxa"/>
            <w:tcBorders>
              <w:top w:val="nil"/>
              <w:left w:val="nil"/>
              <w:bottom w:val="nil"/>
              <w:right w:val="nil"/>
            </w:tcBorders>
            <w:shd w:val="clear" w:color="auto" w:fill="auto"/>
            <w:noWrap/>
            <w:vAlign w:val="bottom"/>
            <w:hideMark/>
          </w:tcPr>
          <w:p w14:paraId="46B8770B"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1.9</w:t>
            </w:r>
          </w:p>
        </w:tc>
        <w:tc>
          <w:tcPr>
            <w:tcW w:w="810" w:type="dxa"/>
            <w:tcBorders>
              <w:top w:val="nil"/>
              <w:left w:val="nil"/>
              <w:bottom w:val="nil"/>
              <w:right w:val="nil"/>
            </w:tcBorders>
            <w:shd w:val="clear" w:color="auto" w:fill="auto"/>
            <w:noWrap/>
            <w:vAlign w:val="bottom"/>
            <w:hideMark/>
          </w:tcPr>
          <w:p w14:paraId="2DBBAD93"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1.2</w:t>
            </w:r>
          </w:p>
        </w:tc>
        <w:tc>
          <w:tcPr>
            <w:tcW w:w="810" w:type="dxa"/>
            <w:tcBorders>
              <w:top w:val="nil"/>
              <w:left w:val="nil"/>
              <w:bottom w:val="nil"/>
              <w:right w:val="nil"/>
            </w:tcBorders>
            <w:shd w:val="clear" w:color="auto" w:fill="auto"/>
            <w:noWrap/>
            <w:vAlign w:val="bottom"/>
            <w:hideMark/>
          </w:tcPr>
          <w:p w14:paraId="13FEAC4F"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0.8</w:t>
            </w:r>
          </w:p>
        </w:tc>
        <w:tc>
          <w:tcPr>
            <w:tcW w:w="900" w:type="dxa"/>
            <w:tcBorders>
              <w:top w:val="nil"/>
              <w:left w:val="nil"/>
              <w:bottom w:val="nil"/>
              <w:right w:val="nil"/>
            </w:tcBorders>
            <w:shd w:val="clear" w:color="auto" w:fill="auto"/>
            <w:noWrap/>
            <w:vAlign w:val="bottom"/>
            <w:hideMark/>
          </w:tcPr>
          <w:p w14:paraId="2C250640"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0.8</w:t>
            </w:r>
          </w:p>
        </w:tc>
      </w:tr>
      <w:tr w:rsidR="00F530A9" w:rsidRPr="00174B74" w14:paraId="61550199" w14:textId="77777777" w:rsidTr="00F530A9">
        <w:trPr>
          <w:trHeight w:val="20"/>
        </w:trPr>
        <w:tc>
          <w:tcPr>
            <w:tcW w:w="262" w:type="dxa"/>
            <w:tcBorders>
              <w:top w:val="nil"/>
              <w:left w:val="nil"/>
              <w:bottom w:val="nil"/>
              <w:right w:val="nil"/>
            </w:tcBorders>
            <w:shd w:val="clear" w:color="auto" w:fill="auto"/>
            <w:noWrap/>
            <w:vAlign w:val="bottom"/>
            <w:hideMark/>
          </w:tcPr>
          <w:p w14:paraId="561CD2AE"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2ACB4BCF"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Average Private Wages %</w:t>
            </w:r>
          </w:p>
        </w:tc>
        <w:tc>
          <w:tcPr>
            <w:tcW w:w="296" w:type="dxa"/>
            <w:tcBorders>
              <w:top w:val="nil"/>
              <w:left w:val="nil"/>
              <w:bottom w:val="nil"/>
              <w:right w:val="nil"/>
            </w:tcBorders>
            <w:shd w:val="clear" w:color="auto" w:fill="auto"/>
            <w:noWrap/>
            <w:vAlign w:val="bottom"/>
            <w:hideMark/>
          </w:tcPr>
          <w:p w14:paraId="5427FB92"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1CEAF2CC"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5.5</w:t>
            </w:r>
          </w:p>
        </w:tc>
        <w:tc>
          <w:tcPr>
            <w:tcW w:w="810" w:type="dxa"/>
            <w:tcBorders>
              <w:top w:val="nil"/>
              <w:left w:val="nil"/>
              <w:bottom w:val="nil"/>
              <w:right w:val="nil"/>
            </w:tcBorders>
            <w:shd w:val="clear" w:color="auto" w:fill="auto"/>
            <w:noWrap/>
            <w:vAlign w:val="bottom"/>
            <w:hideMark/>
          </w:tcPr>
          <w:p w14:paraId="7C713F04"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3.7</w:t>
            </w:r>
          </w:p>
        </w:tc>
        <w:tc>
          <w:tcPr>
            <w:tcW w:w="810" w:type="dxa"/>
            <w:tcBorders>
              <w:top w:val="nil"/>
              <w:left w:val="nil"/>
              <w:bottom w:val="nil"/>
              <w:right w:val="nil"/>
            </w:tcBorders>
            <w:shd w:val="clear" w:color="auto" w:fill="auto"/>
            <w:noWrap/>
            <w:vAlign w:val="bottom"/>
            <w:hideMark/>
          </w:tcPr>
          <w:p w14:paraId="1F8B8486"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3.1</w:t>
            </w:r>
          </w:p>
        </w:tc>
        <w:tc>
          <w:tcPr>
            <w:tcW w:w="810" w:type="dxa"/>
            <w:tcBorders>
              <w:top w:val="nil"/>
              <w:left w:val="nil"/>
              <w:bottom w:val="nil"/>
              <w:right w:val="nil"/>
            </w:tcBorders>
            <w:shd w:val="clear" w:color="auto" w:fill="auto"/>
            <w:noWrap/>
            <w:vAlign w:val="bottom"/>
            <w:hideMark/>
          </w:tcPr>
          <w:p w14:paraId="4667DD20"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2.8</w:t>
            </w:r>
          </w:p>
        </w:tc>
        <w:tc>
          <w:tcPr>
            <w:tcW w:w="810" w:type="dxa"/>
            <w:tcBorders>
              <w:top w:val="nil"/>
              <w:left w:val="nil"/>
              <w:bottom w:val="nil"/>
              <w:right w:val="nil"/>
            </w:tcBorders>
            <w:shd w:val="clear" w:color="auto" w:fill="auto"/>
            <w:noWrap/>
            <w:vAlign w:val="bottom"/>
            <w:hideMark/>
          </w:tcPr>
          <w:p w14:paraId="199AE34D"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3.1</w:t>
            </w:r>
          </w:p>
        </w:tc>
        <w:tc>
          <w:tcPr>
            <w:tcW w:w="900" w:type="dxa"/>
            <w:tcBorders>
              <w:top w:val="nil"/>
              <w:left w:val="nil"/>
              <w:bottom w:val="nil"/>
              <w:right w:val="nil"/>
            </w:tcBorders>
            <w:shd w:val="clear" w:color="auto" w:fill="auto"/>
            <w:noWrap/>
            <w:vAlign w:val="bottom"/>
            <w:hideMark/>
          </w:tcPr>
          <w:p w14:paraId="660ED02B"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3.2</w:t>
            </w:r>
          </w:p>
        </w:tc>
      </w:tr>
      <w:tr w:rsidR="00F530A9" w:rsidRPr="00174B74" w14:paraId="35E78E5A" w14:textId="77777777" w:rsidTr="00F530A9">
        <w:trPr>
          <w:trHeight w:val="20"/>
        </w:trPr>
        <w:tc>
          <w:tcPr>
            <w:tcW w:w="262" w:type="dxa"/>
            <w:tcBorders>
              <w:top w:val="nil"/>
              <w:left w:val="nil"/>
              <w:bottom w:val="nil"/>
              <w:right w:val="nil"/>
            </w:tcBorders>
            <w:shd w:val="clear" w:color="auto" w:fill="auto"/>
            <w:noWrap/>
            <w:vAlign w:val="bottom"/>
            <w:hideMark/>
          </w:tcPr>
          <w:p w14:paraId="348584DF"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01472C1E"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Total Private Wages %</w:t>
            </w:r>
          </w:p>
        </w:tc>
        <w:tc>
          <w:tcPr>
            <w:tcW w:w="296" w:type="dxa"/>
            <w:tcBorders>
              <w:top w:val="nil"/>
              <w:left w:val="nil"/>
              <w:bottom w:val="nil"/>
              <w:right w:val="nil"/>
            </w:tcBorders>
            <w:shd w:val="clear" w:color="auto" w:fill="auto"/>
            <w:noWrap/>
            <w:vAlign w:val="bottom"/>
            <w:hideMark/>
          </w:tcPr>
          <w:p w14:paraId="22742ADB"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5D9CD0A0"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7.5</w:t>
            </w:r>
          </w:p>
        </w:tc>
        <w:tc>
          <w:tcPr>
            <w:tcW w:w="810" w:type="dxa"/>
            <w:tcBorders>
              <w:top w:val="nil"/>
              <w:left w:val="nil"/>
              <w:bottom w:val="nil"/>
              <w:right w:val="nil"/>
            </w:tcBorders>
            <w:shd w:val="clear" w:color="auto" w:fill="auto"/>
            <w:noWrap/>
            <w:vAlign w:val="bottom"/>
            <w:hideMark/>
          </w:tcPr>
          <w:p w14:paraId="63FC70E3"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5.8</w:t>
            </w:r>
          </w:p>
        </w:tc>
        <w:tc>
          <w:tcPr>
            <w:tcW w:w="810" w:type="dxa"/>
            <w:tcBorders>
              <w:top w:val="nil"/>
              <w:left w:val="nil"/>
              <w:bottom w:val="nil"/>
              <w:right w:val="nil"/>
            </w:tcBorders>
            <w:shd w:val="clear" w:color="auto" w:fill="auto"/>
            <w:noWrap/>
            <w:vAlign w:val="bottom"/>
            <w:hideMark/>
          </w:tcPr>
          <w:p w14:paraId="6683A60E"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5.0</w:t>
            </w:r>
          </w:p>
        </w:tc>
        <w:tc>
          <w:tcPr>
            <w:tcW w:w="810" w:type="dxa"/>
            <w:tcBorders>
              <w:top w:val="nil"/>
              <w:left w:val="nil"/>
              <w:bottom w:val="nil"/>
              <w:right w:val="nil"/>
            </w:tcBorders>
            <w:shd w:val="clear" w:color="auto" w:fill="auto"/>
            <w:noWrap/>
            <w:vAlign w:val="bottom"/>
            <w:hideMark/>
          </w:tcPr>
          <w:p w14:paraId="63864F02"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4.0</w:t>
            </w:r>
          </w:p>
        </w:tc>
        <w:tc>
          <w:tcPr>
            <w:tcW w:w="810" w:type="dxa"/>
            <w:tcBorders>
              <w:top w:val="nil"/>
              <w:left w:val="nil"/>
              <w:bottom w:val="nil"/>
              <w:right w:val="nil"/>
            </w:tcBorders>
            <w:shd w:val="clear" w:color="auto" w:fill="auto"/>
            <w:noWrap/>
            <w:vAlign w:val="bottom"/>
            <w:hideMark/>
          </w:tcPr>
          <w:p w14:paraId="3291FD75"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4.0</w:t>
            </w:r>
          </w:p>
        </w:tc>
        <w:tc>
          <w:tcPr>
            <w:tcW w:w="900" w:type="dxa"/>
            <w:tcBorders>
              <w:top w:val="nil"/>
              <w:left w:val="nil"/>
              <w:bottom w:val="nil"/>
              <w:right w:val="nil"/>
            </w:tcBorders>
            <w:shd w:val="clear" w:color="auto" w:fill="auto"/>
            <w:noWrap/>
            <w:vAlign w:val="bottom"/>
            <w:hideMark/>
          </w:tcPr>
          <w:p w14:paraId="25B54367" w14:textId="77777777" w:rsidR="00F530A9" w:rsidRPr="00174B74" w:rsidRDefault="00F530A9" w:rsidP="00174B74">
            <w:pPr>
              <w:spacing w:after="0"/>
              <w:jc w:val="right"/>
              <w:rPr>
                <w:rFonts w:ascii="Calibri" w:eastAsia="Times New Roman" w:hAnsi="Calibri" w:cs="Times New Roman"/>
                <w:b/>
                <w:bCs/>
                <w:sz w:val="20"/>
                <w:szCs w:val="20"/>
              </w:rPr>
            </w:pPr>
            <w:r w:rsidRPr="00174B74">
              <w:rPr>
                <w:rFonts w:ascii="Calibri" w:eastAsia="Times New Roman" w:hAnsi="Calibri" w:cs="Times New Roman"/>
                <w:b/>
                <w:bCs/>
                <w:sz w:val="20"/>
                <w:szCs w:val="20"/>
              </w:rPr>
              <w:t>4.1</w:t>
            </w:r>
          </w:p>
        </w:tc>
      </w:tr>
      <w:tr w:rsidR="00F530A9" w:rsidRPr="00174B74" w14:paraId="56E63256" w14:textId="77777777" w:rsidTr="00F530A9">
        <w:trPr>
          <w:trHeight w:val="20"/>
        </w:trPr>
        <w:tc>
          <w:tcPr>
            <w:tcW w:w="262" w:type="dxa"/>
            <w:tcBorders>
              <w:top w:val="nil"/>
              <w:left w:val="nil"/>
              <w:bottom w:val="nil"/>
              <w:right w:val="nil"/>
            </w:tcBorders>
            <w:shd w:val="clear" w:color="auto" w:fill="auto"/>
            <w:noWrap/>
            <w:vAlign w:val="bottom"/>
            <w:hideMark/>
          </w:tcPr>
          <w:p w14:paraId="11833ED4"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762" w:type="dxa"/>
            <w:gridSpan w:val="2"/>
            <w:tcBorders>
              <w:top w:val="nil"/>
              <w:left w:val="nil"/>
              <w:bottom w:val="nil"/>
              <w:right w:val="nil"/>
            </w:tcBorders>
            <w:shd w:val="clear" w:color="auto" w:fill="auto"/>
            <w:noWrap/>
            <w:vAlign w:val="bottom"/>
            <w:hideMark/>
          </w:tcPr>
          <w:p w14:paraId="730E0C6D" w14:textId="77777777" w:rsidR="00F530A9" w:rsidRPr="00174B74" w:rsidRDefault="00F530A9" w:rsidP="00174B74">
            <w:pPr>
              <w:spacing w:after="0"/>
              <w:jc w:val="left"/>
              <w:rPr>
                <w:rFonts w:ascii="Calibri" w:eastAsia="Times New Roman" w:hAnsi="Calibri" w:cs="Times New Roman"/>
                <w:b/>
                <w:bCs/>
                <w:color w:val="000000"/>
                <w:sz w:val="20"/>
                <w:szCs w:val="20"/>
              </w:rPr>
            </w:pPr>
            <w:r w:rsidRPr="00174B74">
              <w:rPr>
                <w:rFonts w:ascii="Calibri" w:eastAsia="Times New Roman" w:hAnsi="Calibri" w:cs="Times New Roman"/>
                <w:b/>
                <w:bCs/>
                <w:color w:val="000000"/>
                <w:sz w:val="20"/>
                <w:szCs w:val="20"/>
              </w:rPr>
              <w:t>NYSE Member Firms %</w:t>
            </w:r>
          </w:p>
        </w:tc>
        <w:tc>
          <w:tcPr>
            <w:tcW w:w="296" w:type="dxa"/>
            <w:tcBorders>
              <w:top w:val="nil"/>
              <w:left w:val="nil"/>
              <w:bottom w:val="nil"/>
              <w:right w:val="nil"/>
            </w:tcBorders>
            <w:shd w:val="clear" w:color="auto" w:fill="auto"/>
            <w:noWrap/>
            <w:vAlign w:val="bottom"/>
            <w:hideMark/>
          </w:tcPr>
          <w:p w14:paraId="7CFFA163" w14:textId="77777777" w:rsidR="00F530A9" w:rsidRPr="00174B74" w:rsidRDefault="00F530A9" w:rsidP="00174B74">
            <w:pPr>
              <w:spacing w:after="0"/>
              <w:jc w:val="left"/>
              <w:rPr>
                <w:rFonts w:ascii="Calibri" w:eastAsia="Times New Roman" w:hAnsi="Calibri" w:cs="Times New Roman"/>
                <w:b/>
                <w:bCs/>
                <w:color w:val="000000"/>
                <w:sz w:val="20"/>
                <w:szCs w:val="20"/>
              </w:rPr>
            </w:pPr>
          </w:p>
        </w:tc>
        <w:tc>
          <w:tcPr>
            <w:tcW w:w="810" w:type="dxa"/>
            <w:tcBorders>
              <w:top w:val="nil"/>
              <w:left w:val="nil"/>
              <w:bottom w:val="nil"/>
              <w:right w:val="nil"/>
            </w:tcBorders>
            <w:shd w:val="clear" w:color="auto" w:fill="auto"/>
            <w:noWrap/>
            <w:vAlign w:val="bottom"/>
            <w:hideMark/>
          </w:tcPr>
          <w:p w14:paraId="75DF5377"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391E9DB"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FC52024"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86EFE04"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513995F" w14:textId="77777777" w:rsidR="00F530A9" w:rsidRPr="00174B74" w:rsidRDefault="00F530A9" w:rsidP="00174B74">
            <w:pPr>
              <w:spacing w:after="0"/>
              <w:jc w:val="right"/>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BEFBB03" w14:textId="77777777" w:rsidR="00F530A9" w:rsidRPr="00174B74" w:rsidRDefault="00F530A9" w:rsidP="00174B74">
            <w:pPr>
              <w:spacing w:after="0"/>
              <w:jc w:val="right"/>
              <w:rPr>
                <w:rFonts w:ascii="Times New Roman" w:eastAsia="Times New Roman" w:hAnsi="Times New Roman" w:cs="Times New Roman"/>
                <w:sz w:val="20"/>
                <w:szCs w:val="20"/>
              </w:rPr>
            </w:pPr>
          </w:p>
        </w:tc>
      </w:tr>
      <w:tr w:rsidR="00F530A9" w:rsidRPr="00174B74" w14:paraId="7B4792A2" w14:textId="77777777" w:rsidTr="00F530A9">
        <w:trPr>
          <w:trHeight w:val="20"/>
        </w:trPr>
        <w:tc>
          <w:tcPr>
            <w:tcW w:w="262" w:type="dxa"/>
            <w:tcBorders>
              <w:top w:val="nil"/>
              <w:left w:val="nil"/>
              <w:bottom w:val="nil"/>
              <w:right w:val="nil"/>
            </w:tcBorders>
            <w:shd w:val="clear" w:color="auto" w:fill="auto"/>
            <w:noWrap/>
            <w:vAlign w:val="bottom"/>
            <w:hideMark/>
          </w:tcPr>
          <w:p w14:paraId="44355EBC"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4E803D4B" w14:textId="77777777" w:rsidR="00F530A9" w:rsidRPr="00174B74" w:rsidRDefault="00F530A9" w:rsidP="00174B74">
            <w:pPr>
              <w:spacing w:after="0"/>
              <w:jc w:val="left"/>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28BC4EC6"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Total Revenue</w:t>
            </w:r>
          </w:p>
        </w:tc>
        <w:tc>
          <w:tcPr>
            <w:tcW w:w="296" w:type="dxa"/>
            <w:tcBorders>
              <w:top w:val="nil"/>
              <w:left w:val="nil"/>
              <w:bottom w:val="nil"/>
              <w:right w:val="nil"/>
            </w:tcBorders>
            <w:shd w:val="clear" w:color="auto" w:fill="auto"/>
            <w:noWrap/>
            <w:vAlign w:val="bottom"/>
            <w:hideMark/>
          </w:tcPr>
          <w:p w14:paraId="5B26C451" w14:textId="77777777" w:rsidR="00F530A9" w:rsidRPr="00174B74" w:rsidRDefault="00F530A9" w:rsidP="00174B74">
            <w:pPr>
              <w:spacing w:after="0"/>
              <w:jc w:val="left"/>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79462EB7"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13.4</w:t>
            </w:r>
          </w:p>
        </w:tc>
        <w:tc>
          <w:tcPr>
            <w:tcW w:w="810" w:type="dxa"/>
            <w:tcBorders>
              <w:top w:val="nil"/>
              <w:left w:val="nil"/>
              <w:bottom w:val="nil"/>
              <w:right w:val="nil"/>
            </w:tcBorders>
            <w:shd w:val="clear" w:color="auto" w:fill="auto"/>
            <w:noWrap/>
            <w:vAlign w:val="bottom"/>
            <w:hideMark/>
          </w:tcPr>
          <w:p w14:paraId="147B13C6"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15.4</w:t>
            </w:r>
          </w:p>
        </w:tc>
        <w:tc>
          <w:tcPr>
            <w:tcW w:w="810" w:type="dxa"/>
            <w:tcBorders>
              <w:top w:val="nil"/>
              <w:left w:val="nil"/>
              <w:bottom w:val="nil"/>
              <w:right w:val="nil"/>
            </w:tcBorders>
            <w:shd w:val="clear" w:color="auto" w:fill="auto"/>
            <w:noWrap/>
            <w:vAlign w:val="bottom"/>
            <w:hideMark/>
          </w:tcPr>
          <w:p w14:paraId="50B25EFB"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1.5</w:t>
            </w:r>
          </w:p>
        </w:tc>
        <w:tc>
          <w:tcPr>
            <w:tcW w:w="810" w:type="dxa"/>
            <w:tcBorders>
              <w:top w:val="nil"/>
              <w:left w:val="nil"/>
              <w:bottom w:val="nil"/>
              <w:right w:val="nil"/>
            </w:tcBorders>
            <w:shd w:val="clear" w:color="auto" w:fill="auto"/>
            <w:noWrap/>
            <w:vAlign w:val="bottom"/>
            <w:hideMark/>
          </w:tcPr>
          <w:p w14:paraId="65F2AB08"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1.9</w:t>
            </w:r>
          </w:p>
        </w:tc>
        <w:tc>
          <w:tcPr>
            <w:tcW w:w="810" w:type="dxa"/>
            <w:tcBorders>
              <w:top w:val="nil"/>
              <w:left w:val="nil"/>
              <w:bottom w:val="nil"/>
              <w:right w:val="nil"/>
            </w:tcBorders>
            <w:shd w:val="clear" w:color="auto" w:fill="auto"/>
            <w:noWrap/>
            <w:vAlign w:val="bottom"/>
            <w:hideMark/>
          </w:tcPr>
          <w:p w14:paraId="299848AB"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3.8</w:t>
            </w:r>
          </w:p>
        </w:tc>
        <w:tc>
          <w:tcPr>
            <w:tcW w:w="900" w:type="dxa"/>
            <w:tcBorders>
              <w:top w:val="nil"/>
              <w:left w:val="nil"/>
              <w:bottom w:val="nil"/>
              <w:right w:val="nil"/>
            </w:tcBorders>
            <w:shd w:val="clear" w:color="auto" w:fill="auto"/>
            <w:noWrap/>
            <w:vAlign w:val="bottom"/>
            <w:hideMark/>
          </w:tcPr>
          <w:p w14:paraId="52289E23"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3.8</w:t>
            </w:r>
          </w:p>
        </w:tc>
      </w:tr>
      <w:tr w:rsidR="00F530A9" w:rsidRPr="00174B74" w14:paraId="368C4EA5" w14:textId="77777777" w:rsidTr="00F530A9">
        <w:trPr>
          <w:trHeight w:val="20"/>
        </w:trPr>
        <w:tc>
          <w:tcPr>
            <w:tcW w:w="262" w:type="dxa"/>
            <w:tcBorders>
              <w:top w:val="nil"/>
              <w:left w:val="nil"/>
              <w:bottom w:val="single" w:sz="8" w:space="0" w:color="auto"/>
              <w:right w:val="nil"/>
            </w:tcBorders>
            <w:shd w:val="clear" w:color="auto" w:fill="auto"/>
            <w:noWrap/>
            <w:vAlign w:val="bottom"/>
            <w:hideMark/>
          </w:tcPr>
          <w:p w14:paraId="0D0E9B38"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262" w:type="dxa"/>
            <w:tcBorders>
              <w:top w:val="nil"/>
              <w:left w:val="nil"/>
              <w:bottom w:val="single" w:sz="8" w:space="0" w:color="auto"/>
              <w:right w:val="nil"/>
            </w:tcBorders>
            <w:shd w:val="clear" w:color="auto" w:fill="auto"/>
            <w:noWrap/>
            <w:vAlign w:val="bottom"/>
            <w:hideMark/>
          </w:tcPr>
          <w:p w14:paraId="04655A76"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 </w:t>
            </w:r>
          </w:p>
        </w:tc>
        <w:tc>
          <w:tcPr>
            <w:tcW w:w="3500" w:type="dxa"/>
            <w:tcBorders>
              <w:top w:val="nil"/>
              <w:left w:val="nil"/>
              <w:bottom w:val="single" w:sz="8" w:space="0" w:color="auto"/>
              <w:right w:val="nil"/>
            </w:tcBorders>
            <w:shd w:val="clear" w:color="auto" w:fill="auto"/>
            <w:noWrap/>
            <w:vAlign w:val="bottom"/>
            <w:hideMark/>
          </w:tcPr>
          <w:p w14:paraId="3F4C0D4D" w14:textId="77777777" w:rsidR="00F530A9" w:rsidRPr="00174B74" w:rsidRDefault="00F530A9" w:rsidP="00174B74">
            <w:pPr>
              <w:spacing w:after="0"/>
              <w:jc w:val="left"/>
              <w:rPr>
                <w:rFonts w:ascii="Calibri" w:eastAsia="Times New Roman" w:hAnsi="Calibri" w:cs="Times New Roman"/>
                <w:color w:val="000000"/>
                <w:sz w:val="20"/>
                <w:szCs w:val="20"/>
              </w:rPr>
            </w:pPr>
            <w:r w:rsidRPr="00174B74">
              <w:rPr>
                <w:rFonts w:ascii="Calibri" w:eastAsia="Times New Roman" w:hAnsi="Calibri" w:cs="Times New Roman"/>
                <w:color w:val="000000"/>
                <w:sz w:val="20"/>
                <w:szCs w:val="20"/>
              </w:rPr>
              <w:t>Total Compensation</w:t>
            </w:r>
          </w:p>
        </w:tc>
        <w:tc>
          <w:tcPr>
            <w:tcW w:w="296" w:type="dxa"/>
            <w:tcBorders>
              <w:top w:val="nil"/>
              <w:left w:val="nil"/>
              <w:bottom w:val="single" w:sz="8" w:space="0" w:color="auto"/>
              <w:right w:val="nil"/>
            </w:tcBorders>
            <w:shd w:val="clear" w:color="auto" w:fill="auto"/>
            <w:noWrap/>
            <w:vAlign w:val="bottom"/>
            <w:hideMark/>
          </w:tcPr>
          <w:p w14:paraId="63A711CC" w14:textId="77777777" w:rsidR="00F530A9" w:rsidRPr="00174B74" w:rsidRDefault="00F530A9" w:rsidP="00174B74">
            <w:pPr>
              <w:spacing w:after="0"/>
              <w:jc w:val="right"/>
              <w:rPr>
                <w:rFonts w:ascii="Arial" w:eastAsia="Times New Roman" w:hAnsi="Arial" w:cs="Arial"/>
                <w:sz w:val="20"/>
                <w:szCs w:val="20"/>
              </w:rPr>
            </w:pPr>
            <w:r w:rsidRPr="00174B74">
              <w:rPr>
                <w:rFonts w:ascii="Arial" w:eastAsia="Times New Roman" w:hAnsi="Arial" w:cs="Arial"/>
                <w:sz w:val="20"/>
                <w:szCs w:val="20"/>
              </w:rPr>
              <w:t> </w:t>
            </w:r>
          </w:p>
        </w:tc>
        <w:tc>
          <w:tcPr>
            <w:tcW w:w="810" w:type="dxa"/>
            <w:tcBorders>
              <w:top w:val="nil"/>
              <w:left w:val="nil"/>
              <w:bottom w:val="single" w:sz="8" w:space="0" w:color="auto"/>
              <w:right w:val="nil"/>
            </w:tcBorders>
            <w:shd w:val="clear" w:color="auto" w:fill="auto"/>
            <w:noWrap/>
            <w:vAlign w:val="bottom"/>
            <w:hideMark/>
          </w:tcPr>
          <w:p w14:paraId="1B629C3F"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1.9</w:t>
            </w:r>
          </w:p>
        </w:tc>
        <w:tc>
          <w:tcPr>
            <w:tcW w:w="810" w:type="dxa"/>
            <w:tcBorders>
              <w:top w:val="nil"/>
              <w:left w:val="nil"/>
              <w:bottom w:val="single" w:sz="8" w:space="0" w:color="auto"/>
              <w:right w:val="nil"/>
            </w:tcBorders>
            <w:shd w:val="clear" w:color="auto" w:fill="auto"/>
            <w:noWrap/>
            <w:vAlign w:val="bottom"/>
            <w:hideMark/>
          </w:tcPr>
          <w:p w14:paraId="3110EE43"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5.0</w:t>
            </w:r>
          </w:p>
        </w:tc>
        <w:tc>
          <w:tcPr>
            <w:tcW w:w="810" w:type="dxa"/>
            <w:tcBorders>
              <w:top w:val="nil"/>
              <w:left w:val="nil"/>
              <w:bottom w:val="single" w:sz="8" w:space="0" w:color="auto"/>
              <w:right w:val="nil"/>
            </w:tcBorders>
            <w:shd w:val="clear" w:color="auto" w:fill="auto"/>
            <w:noWrap/>
            <w:vAlign w:val="bottom"/>
            <w:hideMark/>
          </w:tcPr>
          <w:p w14:paraId="71913DDA"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1.1</w:t>
            </w:r>
          </w:p>
        </w:tc>
        <w:tc>
          <w:tcPr>
            <w:tcW w:w="810" w:type="dxa"/>
            <w:tcBorders>
              <w:top w:val="nil"/>
              <w:left w:val="nil"/>
              <w:bottom w:val="single" w:sz="8" w:space="0" w:color="auto"/>
              <w:right w:val="nil"/>
            </w:tcBorders>
            <w:shd w:val="clear" w:color="auto" w:fill="auto"/>
            <w:noWrap/>
            <w:vAlign w:val="bottom"/>
            <w:hideMark/>
          </w:tcPr>
          <w:p w14:paraId="6BFED944"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2.2</w:t>
            </w:r>
          </w:p>
        </w:tc>
        <w:tc>
          <w:tcPr>
            <w:tcW w:w="810" w:type="dxa"/>
            <w:tcBorders>
              <w:top w:val="nil"/>
              <w:left w:val="nil"/>
              <w:bottom w:val="single" w:sz="8" w:space="0" w:color="auto"/>
              <w:right w:val="nil"/>
            </w:tcBorders>
            <w:shd w:val="clear" w:color="auto" w:fill="auto"/>
            <w:noWrap/>
            <w:vAlign w:val="bottom"/>
            <w:hideMark/>
          </w:tcPr>
          <w:p w14:paraId="2AE1F652"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3.3</w:t>
            </w:r>
          </w:p>
        </w:tc>
        <w:tc>
          <w:tcPr>
            <w:tcW w:w="900" w:type="dxa"/>
            <w:tcBorders>
              <w:top w:val="nil"/>
              <w:left w:val="nil"/>
              <w:bottom w:val="single" w:sz="8" w:space="0" w:color="auto"/>
              <w:right w:val="nil"/>
            </w:tcBorders>
            <w:shd w:val="clear" w:color="auto" w:fill="auto"/>
            <w:noWrap/>
            <w:vAlign w:val="bottom"/>
            <w:hideMark/>
          </w:tcPr>
          <w:p w14:paraId="39B381EE" w14:textId="77777777" w:rsidR="00F530A9" w:rsidRPr="00174B74" w:rsidRDefault="00F530A9" w:rsidP="00174B74">
            <w:pPr>
              <w:spacing w:after="0"/>
              <w:jc w:val="right"/>
              <w:rPr>
                <w:rFonts w:ascii="Calibri" w:eastAsia="Times New Roman" w:hAnsi="Calibri" w:cs="Times New Roman"/>
                <w:sz w:val="20"/>
                <w:szCs w:val="20"/>
              </w:rPr>
            </w:pPr>
            <w:r w:rsidRPr="00174B74">
              <w:rPr>
                <w:rFonts w:ascii="Calibri" w:eastAsia="Times New Roman" w:hAnsi="Calibri" w:cs="Times New Roman"/>
                <w:sz w:val="20"/>
                <w:szCs w:val="20"/>
              </w:rPr>
              <w:t>3.3</w:t>
            </w:r>
          </w:p>
        </w:tc>
      </w:tr>
      <w:tr w:rsidR="00F530A9" w:rsidRPr="00174B74" w14:paraId="1EBBB9DF" w14:textId="77777777" w:rsidTr="00F530A9">
        <w:trPr>
          <w:trHeight w:val="20"/>
        </w:trPr>
        <w:tc>
          <w:tcPr>
            <w:tcW w:w="9268" w:type="dxa"/>
            <w:gridSpan w:val="10"/>
            <w:tcBorders>
              <w:top w:val="nil"/>
              <w:left w:val="nil"/>
              <w:bottom w:val="nil"/>
              <w:right w:val="nil"/>
            </w:tcBorders>
            <w:shd w:val="clear" w:color="auto" w:fill="auto"/>
            <w:noWrap/>
            <w:vAlign w:val="bottom"/>
            <w:hideMark/>
          </w:tcPr>
          <w:p w14:paraId="4069324E" w14:textId="40436ADB" w:rsidR="00F530A9" w:rsidRPr="00174B74" w:rsidRDefault="00F530A9" w:rsidP="00174B74">
            <w:pPr>
              <w:spacing w:after="0"/>
              <w:jc w:val="left"/>
              <w:rPr>
                <w:rFonts w:ascii="Times New Roman" w:eastAsia="Times New Roman" w:hAnsi="Times New Roman" w:cs="Times New Roman"/>
                <w:sz w:val="20"/>
                <w:szCs w:val="20"/>
              </w:rPr>
            </w:pPr>
            <w:r w:rsidRPr="00174B74">
              <w:rPr>
                <w:rFonts w:ascii="Calibri" w:eastAsia="Times New Roman" w:hAnsi="Calibri" w:cs="Times New Roman"/>
                <w:b/>
                <w:bCs/>
                <w:i/>
                <w:iCs/>
                <w:sz w:val="20"/>
                <w:szCs w:val="20"/>
              </w:rPr>
              <w:t>Source:</w:t>
            </w:r>
            <w:r w:rsidRPr="00174B74">
              <w:rPr>
                <w:rFonts w:ascii="Calibri" w:eastAsia="Times New Roman" w:hAnsi="Calibri" w:cs="Times New Roman"/>
                <w:i/>
                <w:iCs/>
                <w:sz w:val="20"/>
                <w:szCs w:val="20"/>
              </w:rPr>
              <w:t xml:space="preserve">  IHS Markit, February 2018 (Nat'l); New York City Council Finance Division (City)</w:t>
            </w:r>
          </w:p>
        </w:tc>
      </w:tr>
      <w:tr w:rsidR="00F530A9" w:rsidRPr="00174B74" w14:paraId="6C9D54E8" w14:textId="77777777" w:rsidTr="00F530A9">
        <w:trPr>
          <w:trHeight w:val="20"/>
        </w:trPr>
        <w:tc>
          <w:tcPr>
            <w:tcW w:w="9268" w:type="dxa"/>
            <w:gridSpan w:val="10"/>
            <w:tcBorders>
              <w:top w:val="nil"/>
              <w:left w:val="nil"/>
              <w:bottom w:val="nil"/>
              <w:right w:val="nil"/>
            </w:tcBorders>
            <w:shd w:val="clear" w:color="auto" w:fill="auto"/>
            <w:noWrap/>
            <w:vAlign w:val="bottom"/>
            <w:hideMark/>
          </w:tcPr>
          <w:p w14:paraId="2CAFBAC8" w14:textId="5270F0E2" w:rsidR="00F530A9" w:rsidRPr="00174B74" w:rsidRDefault="00F530A9" w:rsidP="00174B74">
            <w:pPr>
              <w:spacing w:after="0"/>
              <w:jc w:val="left"/>
              <w:rPr>
                <w:rFonts w:ascii="Times New Roman" w:eastAsia="Times New Roman" w:hAnsi="Times New Roman" w:cs="Times New Roman"/>
                <w:sz w:val="20"/>
                <w:szCs w:val="20"/>
              </w:rPr>
            </w:pPr>
            <w:r w:rsidRPr="00174B74">
              <w:rPr>
                <w:rFonts w:ascii="Calibri" w:eastAsia="Times New Roman" w:hAnsi="Calibri" w:cs="Times New Roman"/>
                <w:i/>
                <w:iCs/>
                <w:color w:val="000000"/>
                <w:sz w:val="20"/>
                <w:szCs w:val="20"/>
              </w:rPr>
              <w:t>* Calculated by IHS Markit</w:t>
            </w:r>
          </w:p>
        </w:tc>
      </w:tr>
    </w:tbl>
    <w:p w14:paraId="5E76A962" w14:textId="77777777" w:rsidR="00636828" w:rsidRPr="001741AB" w:rsidRDefault="00636828" w:rsidP="00F2473E">
      <w:pPr>
        <w:pStyle w:val="Heading1"/>
      </w:pPr>
      <w:bookmarkStart w:id="7" w:name="_Toc507592267"/>
      <w:r w:rsidRPr="001741AB">
        <w:t>Tax Revenue Forecast</w:t>
      </w:r>
      <w:bookmarkEnd w:id="7"/>
    </w:p>
    <w:p w14:paraId="094D0AB1" w14:textId="5CD94FBE" w:rsidR="00636828" w:rsidRPr="00636828" w:rsidRDefault="00636828" w:rsidP="008615A5">
      <w:pPr>
        <w:spacing w:after="120"/>
      </w:pPr>
      <w:r w:rsidRPr="00636828">
        <w:t>The Finance Division forecasts</w:t>
      </w:r>
      <w:r w:rsidR="00575B55">
        <w:t xml:space="preserve"> that</w:t>
      </w:r>
      <w:r w:rsidRPr="00636828">
        <w:t xml:space="preserve"> tax collections </w:t>
      </w:r>
      <w:r w:rsidR="00575B55">
        <w:t>will</w:t>
      </w:r>
      <w:r w:rsidRPr="00636828">
        <w:t xml:space="preserve"> rebound by 5.5 percent in Fiscal 2018, following two years of slow growth</w:t>
      </w:r>
      <w:r w:rsidR="007034EB">
        <w:t xml:space="preserve"> that averaged only 2.6 percent</w:t>
      </w:r>
      <w:r w:rsidRPr="00636828">
        <w:t>. The main drivers of the upturn are strong personal income tax collections</w:t>
      </w:r>
      <w:r w:rsidR="001B365C" w:rsidRPr="00636828">
        <w:t>, a</w:t>
      </w:r>
      <w:r w:rsidRPr="00636828">
        <w:t xml:space="preserve"> resurgence in unincorporated business tax revenue</w:t>
      </w:r>
      <w:r w:rsidR="00575B55">
        <w:t xml:space="preserve"> and</w:t>
      </w:r>
      <w:r w:rsidRPr="00636828">
        <w:t xml:space="preserve"> real property tax</w:t>
      </w:r>
      <w:r w:rsidR="00575B55">
        <w:t xml:space="preserve"> collections</w:t>
      </w:r>
      <w:r w:rsidRPr="00636828">
        <w:t xml:space="preserve">, and a </w:t>
      </w:r>
      <w:r w:rsidR="00575B55">
        <w:t>slower</w:t>
      </w:r>
      <w:r w:rsidRPr="00636828">
        <w:t xml:space="preserve"> decline in real estate transaction taxes. </w:t>
      </w:r>
      <w:r w:rsidR="00575B55">
        <w:t xml:space="preserve">Total tax </w:t>
      </w:r>
      <w:r w:rsidR="00575B55">
        <w:lastRenderedPageBreak/>
        <w:t>c</w:t>
      </w:r>
      <w:r w:rsidRPr="00636828">
        <w:t>ollections will soften slightly to 4.6 percent growth in 2019, and more significantly in the outyears, averaging 3.9 percent growth</w:t>
      </w:r>
      <w:r w:rsidR="00575B55">
        <w:t xml:space="preserve"> during this period</w:t>
      </w:r>
      <w:r w:rsidRPr="00636828">
        <w:t>. The</w:t>
      </w:r>
      <w:r w:rsidR="00575B55">
        <w:t xml:space="preserve"> slowdown in the</w:t>
      </w:r>
      <w:r w:rsidRPr="00636828">
        <w:t xml:space="preserve"> outyears reflects the</w:t>
      </w:r>
      <w:r w:rsidR="00575B55">
        <w:t xml:space="preserve"> expected</w:t>
      </w:r>
      <w:r w:rsidRPr="00636828">
        <w:t xml:space="preserve"> slowdown in both the national and City economies</w:t>
      </w:r>
      <w:r w:rsidR="00575B55">
        <w:t>,</w:t>
      </w:r>
      <w:r w:rsidRPr="00636828">
        <w:t xml:space="preserve"> as interest rates rise and the initial stimulatory effects of the T</w:t>
      </w:r>
      <w:r w:rsidR="00BA08B5">
        <w:t>CJA</w:t>
      </w:r>
      <w:r w:rsidRPr="00636828">
        <w:t xml:space="preserve"> reverse.</w:t>
      </w:r>
    </w:p>
    <w:p w14:paraId="1587BC47" w14:textId="77777777" w:rsidR="002E7EAB" w:rsidRDefault="00636828" w:rsidP="00F2473E">
      <w:pPr>
        <w:pStyle w:val="Heading3"/>
      </w:pPr>
      <w:bookmarkStart w:id="8" w:name="_Toc507592268"/>
      <w:r w:rsidRPr="002E7EAB">
        <w:t>Real Property Tax</w:t>
      </w:r>
      <w:bookmarkEnd w:id="8"/>
    </w:p>
    <w:p w14:paraId="70462160" w14:textId="21D24551" w:rsidR="00636828" w:rsidRDefault="002E7EAB" w:rsidP="008615A5">
      <w:pPr>
        <w:spacing w:after="120"/>
      </w:pPr>
      <w:r>
        <w:t>Property tax</w:t>
      </w:r>
      <w:r w:rsidR="00636828" w:rsidRPr="007034EB">
        <w:rPr>
          <w:b/>
        </w:rPr>
        <w:t xml:space="preserve"> </w:t>
      </w:r>
      <w:r w:rsidR="00636828" w:rsidRPr="00636828">
        <w:t xml:space="preserve">collections will maintain strong growth throughout the </w:t>
      </w:r>
      <w:r w:rsidR="00227C10">
        <w:t>F</w:t>
      </w:r>
      <w:r w:rsidR="00636828" w:rsidRPr="00636828">
        <w:t xml:space="preserve">inancial </w:t>
      </w:r>
      <w:r w:rsidR="00227C10">
        <w:t>P</w:t>
      </w:r>
      <w:r w:rsidR="00636828" w:rsidRPr="00636828">
        <w:t>lan</w:t>
      </w:r>
      <w:r w:rsidR="00227C10">
        <w:t>,</w:t>
      </w:r>
      <w:r w:rsidR="00636828" w:rsidRPr="00636828">
        <w:t xml:space="preserve"> driven by a recent history of strong market value growth</w:t>
      </w:r>
      <w:r w:rsidR="00BB173D">
        <w:t xml:space="preserve">. </w:t>
      </w:r>
      <w:r w:rsidR="00636828" w:rsidRPr="00636828">
        <w:t>In January</w:t>
      </w:r>
      <w:r w:rsidR="00227C10">
        <w:t xml:space="preserve"> 2018</w:t>
      </w:r>
      <w:r w:rsidR="00636828" w:rsidRPr="00636828">
        <w:t xml:space="preserve">, the </w:t>
      </w:r>
      <w:r w:rsidR="00E505B7">
        <w:t xml:space="preserve">New York City </w:t>
      </w:r>
      <w:r w:rsidR="00636828" w:rsidRPr="00636828">
        <w:t>Department of Finance (DOF) released the preliminary assessment roll for Fiscal 2019, which showed</w:t>
      </w:r>
      <w:r w:rsidR="00E505B7">
        <w:t xml:space="preserve"> that</w:t>
      </w:r>
      <w:r w:rsidR="00636828" w:rsidRPr="00636828">
        <w:t xml:space="preserve"> growth in </w:t>
      </w:r>
      <w:r w:rsidR="00E505B7">
        <w:t xml:space="preserve">property </w:t>
      </w:r>
      <w:r w:rsidR="00636828" w:rsidRPr="00636828">
        <w:t>values</w:t>
      </w:r>
      <w:r w:rsidR="000C7C8D">
        <w:t xml:space="preserve"> were</w:t>
      </w:r>
      <w:r w:rsidR="00636828" w:rsidRPr="00636828">
        <w:t xml:space="preserve"> slightly slower than </w:t>
      </w:r>
      <w:r w:rsidR="000C7C8D">
        <w:t>th</w:t>
      </w:r>
      <w:r w:rsidR="00533E0D">
        <w:t>e growth experienced</w:t>
      </w:r>
      <w:r w:rsidR="000C7C8D">
        <w:t xml:space="preserve"> in </w:t>
      </w:r>
      <w:r w:rsidR="00636828" w:rsidRPr="00636828">
        <w:t xml:space="preserve">Fiscal 2018. Market values are up 9.4 percent, with 8.1 percent of the growth due to market forces. Similarly, assessed values are up 8.4 percent, </w:t>
      </w:r>
      <w:r w:rsidR="00533E0D">
        <w:t>representing</w:t>
      </w:r>
      <w:r w:rsidR="00636828" w:rsidRPr="00636828">
        <w:t xml:space="preserve"> $243 billion in billable assessed value. Based on the preliminary roll, Fiscal 2019</w:t>
      </w:r>
      <w:r w:rsidR="00533E0D">
        <w:t xml:space="preserve"> real property tax</w:t>
      </w:r>
      <w:r w:rsidR="00636828" w:rsidRPr="00636828">
        <w:t xml:space="preserve"> collections are e</w:t>
      </w:r>
      <w:r w:rsidR="00533E0D">
        <w:t>stimated</w:t>
      </w:r>
      <w:r w:rsidR="00636828" w:rsidRPr="00636828">
        <w:t xml:space="preserve"> to be approximately $27.7 billion.</w:t>
      </w:r>
    </w:p>
    <w:p w14:paraId="20CFBD5E" w14:textId="77777777" w:rsidR="002E7EAB" w:rsidRPr="00F2473E" w:rsidRDefault="00636828" w:rsidP="00F2473E">
      <w:pPr>
        <w:pStyle w:val="Heading3"/>
      </w:pPr>
      <w:bookmarkStart w:id="9" w:name="_Toc507592269"/>
      <w:r w:rsidRPr="00F2473E">
        <w:t>Personal Income Tax (PIT)</w:t>
      </w:r>
      <w:bookmarkEnd w:id="9"/>
      <w:r w:rsidRPr="00F2473E">
        <w:t xml:space="preserve"> </w:t>
      </w:r>
    </w:p>
    <w:p w14:paraId="50BE997C" w14:textId="03464BEA" w:rsidR="00BB173D" w:rsidRDefault="002E7EAB" w:rsidP="008615A5">
      <w:pPr>
        <w:spacing w:after="120"/>
      </w:pPr>
      <w:r>
        <w:t xml:space="preserve">PIT </w:t>
      </w:r>
      <w:r w:rsidR="00636828" w:rsidRPr="00636828">
        <w:t>collections are for</w:t>
      </w:r>
      <w:r w:rsidR="00BB173D">
        <w:t>ecast</w:t>
      </w:r>
      <w:r w:rsidR="00085175">
        <w:t>ed</w:t>
      </w:r>
      <w:r w:rsidR="00636828" w:rsidRPr="00636828">
        <w:t xml:space="preserve"> to </w:t>
      </w:r>
      <w:r w:rsidR="00085175">
        <w:t>rise</w:t>
      </w:r>
      <w:r w:rsidR="00636828" w:rsidRPr="00636828">
        <w:t xml:space="preserve"> 9.5 percent in Fiscal 2018 due to economic factors, federal tax policy changes and New York State’s administrative changes. Collections have benefited from continued employment gains, wage growth </w:t>
      </w:r>
      <w:r w:rsidR="00085175">
        <w:t>(</w:t>
      </w:r>
      <w:r w:rsidR="00636828" w:rsidRPr="00636828">
        <w:t>including strong Wall Street bonuses</w:t>
      </w:r>
      <w:r w:rsidR="00085175">
        <w:t>)</w:t>
      </w:r>
      <w:r w:rsidR="007F7BEB">
        <w:t>,</w:t>
      </w:r>
      <w:r w:rsidR="00636828" w:rsidRPr="00636828">
        <w:t xml:space="preserve"> and huge capital gains. In addition, the </w:t>
      </w:r>
      <w:r w:rsidR="00085175">
        <w:t>f</w:t>
      </w:r>
      <w:r w:rsidR="00636828" w:rsidRPr="00636828">
        <w:t xml:space="preserve">ederal tax changes prompted taxpayers who held off realizing their capital gains to finally </w:t>
      </w:r>
      <w:r w:rsidR="00085175">
        <w:t>“</w:t>
      </w:r>
      <w:r w:rsidR="00636828" w:rsidRPr="00636828">
        <w:t>cash in their chips</w:t>
      </w:r>
      <w:r w:rsidR="00085175">
        <w:t>”</w:t>
      </w:r>
      <w:r w:rsidR="00636828" w:rsidRPr="00636828">
        <w:t xml:space="preserve"> before the end of tax year 2017, </w:t>
      </w:r>
      <w:r w:rsidR="00085175">
        <w:t>to be able to fully deduct state</w:t>
      </w:r>
      <w:r w:rsidR="00636828" w:rsidRPr="00636828">
        <w:t xml:space="preserve"> and local taxes</w:t>
      </w:r>
      <w:r w:rsidR="00085175">
        <w:t xml:space="preserve"> </w:t>
      </w:r>
      <w:r w:rsidR="00636828" w:rsidRPr="00636828">
        <w:t>on their federal taxes</w:t>
      </w:r>
      <w:r w:rsidR="00085175">
        <w:t xml:space="preserve"> in advance of the changes to this deduction resulting from the TCJA</w:t>
      </w:r>
      <w:r w:rsidR="00636828" w:rsidRPr="00636828">
        <w:t xml:space="preserve">. </w:t>
      </w:r>
      <w:r w:rsidR="00BB173D">
        <w:t>B</w:t>
      </w:r>
      <w:r w:rsidR="00636828" w:rsidRPr="00636828">
        <w:t>eginning in tax year 2017</w:t>
      </w:r>
      <w:r w:rsidR="00432647">
        <w:t>,</w:t>
      </w:r>
      <w:r w:rsidR="00636828" w:rsidRPr="00636828">
        <w:t xml:space="preserve"> there was a major change in the State’s PIT </w:t>
      </w:r>
      <w:r w:rsidR="00432647">
        <w:t>School Tax Relief (</w:t>
      </w:r>
      <w:r w:rsidR="00636828" w:rsidRPr="00636828">
        <w:t>STAR</w:t>
      </w:r>
      <w:r w:rsidR="00432647">
        <w:t>)</w:t>
      </w:r>
      <w:r w:rsidR="00636828" w:rsidRPr="00636828">
        <w:t xml:space="preserve"> program.</w:t>
      </w:r>
      <w:r w:rsidR="00636828" w:rsidRPr="00636828">
        <w:rPr>
          <w:vertAlign w:val="superscript"/>
        </w:rPr>
        <w:footnoteReference w:id="16"/>
      </w:r>
      <w:r w:rsidR="00636828" w:rsidRPr="00636828">
        <w:t xml:space="preserve"> This change effectively raised the revenues from the City’s PIT collections</w:t>
      </w:r>
      <w:r w:rsidR="00950A10">
        <w:t xml:space="preserve"> while</w:t>
      </w:r>
      <w:r w:rsidR="00636828" w:rsidRPr="00636828">
        <w:t xml:space="preserve"> lower</w:t>
      </w:r>
      <w:r w:rsidR="00950A10">
        <w:t>ing</w:t>
      </w:r>
      <w:r w:rsidR="00636828" w:rsidRPr="00636828">
        <w:t xml:space="preserve"> the </w:t>
      </w:r>
      <w:r w:rsidR="00950A10">
        <w:t>s</w:t>
      </w:r>
      <w:r w:rsidR="00636828" w:rsidRPr="00636828">
        <w:t xml:space="preserve">tate’s STAR aid to the </w:t>
      </w:r>
      <w:r w:rsidR="00950A10">
        <w:t>c</w:t>
      </w:r>
      <w:r w:rsidR="00636828" w:rsidRPr="00636828">
        <w:t xml:space="preserve">ity by exactly the same amount, making the </w:t>
      </w:r>
      <w:r w:rsidR="00950A10">
        <w:t>c</w:t>
      </w:r>
      <w:r w:rsidR="00636828" w:rsidRPr="00636828">
        <w:t>ity neither better nor worse. After taking the STAR changes into account, collections for F</w:t>
      </w:r>
      <w:r w:rsidR="000C7C8D">
        <w:t>iscal 2018 increased by a still-</w:t>
      </w:r>
      <w:r w:rsidR="00636828" w:rsidRPr="00636828">
        <w:t>healthy 6.1 percent. Annual collections gradually moderate</w:t>
      </w:r>
      <w:r w:rsidR="00950A10">
        <w:t xml:space="preserve"> in the outyears</w:t>
      </w:r>
      <w:r w:rsidR="00636828" w:rsidRPr="00636828">
        <w:t>, reaching 2.7 percent by 2022.</w:t>
      </w:r>
    </w:p>
    <w:p w14:paraId="79D45B29" w14:textId="4A27FCFF" w:rsidR="002E7EAB" w:rsidRDefault="002E7EAB" w:rsidP="00F2473E">
      <w:pPr>
        <w:pStyle w:val="Heading3"/>
      </w:pPr>
      <w:bookmarkStart w:id="10" w:name="_Toc507592270"/>
      <w:r>
        <w:t>Business Taxes</w:t>
      </w:r>
      <w:bookmarkEnd w:id="10"/>
      <w:r>
        <w:t xml:space="preserve"> </w:t>
      </w:r>
    </w:p>
    <w:p w14:paraId="778F5668" w14:textId="2E472147" w:rsidR="00BB173D" w:rsidRDefault="00636828" w:rsidP="008615A5">
      <w:pPr>
        <w:spacing w:after="120"/>
      </w:pPr>
      <w:r w:rsidRPr="002E7EAB">
        <w:t>General Corporation Tax (GCT)</w:t>
      </w:r>
      <w:r w:rsidRPr="00636828">
        <w:t xml:space="preserve"> collections continue </w:t>
      </w:r>
      <w:r w:rsidR="00B413A5">
        <w:t>the decline</w:t>
      </w:r>
      <w:r w:rsidR="00DD0DEE">
        <w:t xml:space="preserve"> experienced since 2015,</w:t>
      </w:r>
      <w:r w:rsidR="00B413A5">
        <w:t xml:space="preserve"> dropping </w:t>
      </w:r>
      <w:r w:rsidRPr="00636828">
        <w:t xml:space="preserve">by 1.6 percent in Fiscal 2018. When the </w:t>
      </w:r>
      <w:r w:rsidR="00DD0DEE">
        <w:t xml:space="preserve">New York State’s </w:t>
      </w:r>
      <w:r w:rsidRPr="00636828">
        <w:t xml:space="preserve">complicated business tax reforms were enacted in 2015, many corporations overpaid their taxes due to uncertainty as to their exact liabilities. </w:t>
      </w:r>
      <w:r w:rsidR="00DD0DEE">
        <w:t>C</w:t>
      </w:r>
      <w:r w:rsidRPr="00636828">
        <w:t>orporate tax collections have been declining</w:t>
      </w:r>
      <w:r w:rsidR="00DD0DEE">
        <w:t xml:space="preserve"> since that time</w:t>
      </w:r>
      <w:r w:rsidR="00BB173D">
        <w:t xml:space="preserve">. </w:t>
      </w:r>
      <w:r w:rsidRPr="00636828">
        <w:t>The Finance Division expects that by Fiscal 2019</w:t>
      </w:r>
      <w:r w:rsidR="00DD0DEE">
        <w:t>,</w:t>
      </w:r>
      <w:r w:rsidRPr="00636828">
        <w:t xml:space="preserve"> corporate tax payments will return to normal, with a rebound of 7.7 percent growth.</w:t>
      </w:r>
    </w:p>
    <w:p w14:paraId="35A5EB00" w14:textId="729F77D5" w:rsidR="00636828" w:rsidRDefault="00636828" w:rsidP="004A75E7">
      <w:r w:rsidRPr="002E7EAB">
        <w:t>Unincorporated Business Tax (UBT)</w:t>
      </w:r>
      <w:r w:rsidR="002E7EAB">
        <w:t xml:space="preserve"> </w:t>
      </w:r>
      <w:r w:rsidR="00B413A5">
        <w:t>collections</w:t>
      </w:r>
      <w:r w:rsidRPr="00636828">
        <w:t xml:space="preserve"> have been strong in Fiscal 2018, </w:t>
      </w:r>
      <w:r w:rsidR="008622C8">
        <w:t>experiencing</w:t>
      </w:r>
      <w:r w:rsidRPr="00636828">
        <w:t xml:space="preserve"> 6.2 pe</w:t>
      </w:r>
      <w:r w:rsidR="00BB173D">
        <w:t>rcent growth. This is due</w:t>
      </w:r>
      <w:r w:rsidRPr="00636828">
        <w:t xml:space="preserve"> to</w:t>
      </w:r>
      <w:r w:rsidR="004728AD">
        <w:t xml:space="preserve"> both</w:t>
      </w:r>
      <w:r w:rsidRPr="00636828">
        <w:t xml:space="preserve"> the strong economy and growing small business confidence. Unincorporated businesses were not included in the 2015</w:t>
      </w:r>
      <w:r w:rsidR="00BB74F2">
        <w:t xml:space="preserve"> business</w:t>
      </w:r>
      <w:r w:rsidRPr="00636828">
        <w:t xml:space="preserve"> tax reforms</w:t>
      </w:r>
      <w:r w:rsidR="004728AD">
        <w:t xml:space="preserve"> discussed above</w:t>
      </w:r>
      <w:r w:rsidR="008615A5">
        <w:t>.</w:t>
      </w:r>
    </w:p>
    <w:p w14:paraId="15F566EA" w14:textId="44E878EE" w:rsidR="002E7EAB" w:rsidRDefault="002E7EAB" w:rsidP="008615A5">
      <w:pPr>
        <w:pStyle w:val="Heading3"/>
        <w:spacing w:before="120"/>
      </w:pPr>
      <w:bookmarkStart w:id="11" w:name="_Toc507592271"/>
      <w:r>
        <w:lastRenderedPageBreak/>
        <w:t>Other Taxes</w:t>
      </w:r>
      <w:bookmarkEnd w:id="11"/>
    </w:p>
    <w:p w14:paraId="393525CF" w14:textId="03CE21DA" w:rsidR="00636828" w:rsidRDefault="00636828" w:rsidP="004A75E7">
      <w:r w:rsidRPr="002E7EAB">
        <w:t>Sales Tax collections</w:t>
      </w:r>
      <w:r w:rsidRPr="00636828">
        <w:t xml:space="preserve"> increased by a strong 5.7 percent in Fiscal 2018, buoyed by higher disposable income from increased employment, rising wages, and lower </w:t>
      </w:r>
      <w:r w:rsidR="00BB74F2">
        <w:t>f</w:t>
      </w:r>
      <w:r w:rsidRPr="00636828">
        <w:t xml:space="preserve">ederal tax withholdings from the </w:t>
      </w:r>
      <w:r w:rsidR="00BB74F2">
        <w:t>f</w:t>
      </w:r>
      <w:r w:rsidRPr="00636828">
        <w:t>ederal tax changes. Growth in collections</w:t>
      </w:r>
      <w:r w:rsidR="00BB74F2">
        <w:t>, along with employment and wages,</w:t>
      </w:r>
      <w:r w:rsidRPr="00636828">
        <w:t xml:space="preserve"> will gradually soften during the outyears.</w:t>
      </w:r>
    </w:p>
    <w:p w14:paraId="7BA8049E" w14:textId="388F752E" w:rsidR="00605995" w:rsidRPr="00636828" w:rsidRDefault="00636828" w:rsidP="008615A5">
      <w:pPr>
        <w:spacing w:before="120"/>
      </w:pPr>
      <w:r w:rsidRPr="00636828">
        <w:t>The</w:t>
      </w:r>
      <w:r w:rsidR="00D77D66">
        <w:t xml:space="preserve"> real estate</w:t>
      </w:r>
      <w:r w:rsidRPr="00636828">
        <w:t xml:space="preserve"> transaction taxes, </w:t>
      </w:r>
      <w:r w:rsidRPr="002E7EAB">
        <w:t>Real Property Transfer (RPTT) and Mortgage Recording (MRT),</w:t>
      </w:r>
      <w:r w:rsidRPr="007034EB">
        <w:rPr>
          <w:b/>
        </w:rPr>
        <w:t xml:space="preserve"> </w:t>
      </w:r>
      <w:r w:rsidRPr="00636828">
        <w:t xml:space="preserve">declined in Fiscal 2017 compared to the previous year. After a five-year period of double-digit growth, the transaction taxes slowed in Fiscal 2016 before declining in Fiscal 2017, largely driven by a slowdown in the commercial real estate market. The mild downward trend is expected to continue through Fiscal 2019 before </w:t>
      </w:r>
      <w:r w:rsidR="0047701D" w:rsidRPr="00636828">
        <w:t>growth</w:t>
      </w:r>
      <w:r w:rsidRPr="00636828">
        <w:t xml:space="preserve"> returns in Fiscal 2020.</w:t>
      </w:r>
    </w:p>
    <w:p w14:paraId="7028EFDE" w14:textId="77777777" w:rsidR="00D77D66" w:rsidRPr="00333323" w:rsidRDefault="00D77D66" w:rsidP="008615A5">
      <w:pPr>
        <w:pStyle w:val="Heading2"/>
        <w:spacing w:before="120"/>
        <w:rPr>
          <w:sz w:val="26"/>
        </w:rPr>
      </w:pPr>
      <w:bookmarkStart w:id="12" w:name="_Toc507592272"/>
      <w:r w:rsidRPr="00333323">
        <w:rPr>
          <w:sz w:val="26"/>
        </w:rPr>
        <w:t>Comparison to OMB’s Forecast</w:t>
      </w:r>
      <w:bookmarkEnd w:id="12"/>
    </w:p>
    <w:p w14:paraId="025F4E18" w14:textId="20F86523" w:rsidR="00732D5B" w:rsidRDefault="00636828" w:rsidP="00D34013">
      <w:pPr>
        <w:spacing w:after="120"/>
      </w:pPr>
      <w:r w:rsidRPr="00636828">
        <w:t xml:space="preserve">The Finance Division’s </w:t>
      </w:r>
      <w:r w:rsidR="00D77D66">
        <w:t xml:space="preserve">overall </w:t>
      </w:r>
      <w:r w:rsidRPr="00636828">
        <w:t>tax revenue forecast is stronger than OMB’s. It</w:t>
      </w:r>
      <w:r w:rsidR="00B413A5">
        <w:t xml:space="preserve"> i</w:t>
      </w:r>
      <w:r w:rsidRPr="00636828">
        <w:t>s</w:t>
      </w:r>
      <w:r w:rsidR="00D77D66">
        <w:t xml:space="preserve"> also</w:t>
      </w:r>
      <w:r w:rsidRPr="00636828">
        <w:t xml:space="preserve"> stronger than </w:t>
      </w:r>
      <w:r w:rsidR="00D77D66">
        <w:t>the Division’s</w:t>
      </w:r>
      <w:r w:rsidRPr="00636828">
        <w:t xml:space="preserve"> </w:t>
      </w:r>
      <w:r w:rsidR="00B413A5">
        <w:t>previous</w:t>
      </w:r>
      <w:r w:rsidRPr="00636828">
        <w:t xml:space="preserve"> forecast during the November Plan for fiscal years 2018, 2019 and 2020, but weaker for 2021.</w:t>
      </w:r>
    </w:p>
    <w:tbl>
      <w:tblPr>
        <w:tblW w:w="5000" w:type="pct"/>
        <w:tblLook w:val="04A0" w:firstRow="1" w:lastRow="0" w:firstColumn="1" w:lastColumn="0" w:noHBand="0" w:noVBand="1"/>
      </w:tblPr>
      <w:tblGrid>
        <w:gridCol w:w="3126"/>
        <w:gridCol w:w="1206"/>
        <w:gridCol w:w="1282"/>
        <w:gridCol w:w="1421"/>
        <w:gridCol w:w="1207"/>
        <w:gridCol w:w="1118"/>
      </w:tblGrid>
      <w:tr w:rsidR="00C36708" w:rsidRPr="00C36708" w14:paraId="15B119C6" w14:textId="77777777" w:rsidTr="008615A5">
        <w:trPr>
          <w:trHeight w:val="20"/>
        </w:trPr>
        <w:tc>
          <w:tcPr>
            <w:tcW w:w="5000" w:type="pct"/>
            <w:gridSpan w:val="6"/>
            <w:tcBorders>
              <w:top w:val="single" w:sz="8" w:space="0" w:color="auto"/>
              <w:left w:val="nil"/>
              <w:bottom w:val="single" w:sz="4" w:space="0" w:color="auto"/>
              <w:right w:val="nil"/>
            </w:tcBorders>
            <w:shd w:val="clear" w:color="auto" w:fill="auto"/>
            <w:noWrap/>
            <w:vAlign w:val="bottom"/>
            <w:hideMark/>
          </w:tcPr>
          <w:p w14:paraId="4913BFC7" w14:textId="77777777" w:rsidR="00C36708" w:rsidRPr="00C36708" w:rsidRDefault="00C36708" w:rsidP="00C36708">
            <w:pPr>
              <w:spacing w:after="0"/>
              <w:jc w:val="lef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New York City Council Finance Division - Tax Revenue Growth Rates</w:t>
            </w:r>
          </w:p>
        </w:tc>
      </w:tr>
      <w:tr w:rsidR="00C36708" w:rsidRPr="00C36708" w14:paraId="591A3E2A" w14:textId="77777777" w:rsidTr="00D34013">
        <w:trPr>
          <w:trHeight w:val="20"/>
        </w:trPr>
        <w:tc>
          <w:tcPr>
            <w:tcW w:w="1670" w:type="pct"/>
            <w:tcBorders>
              <w:top w:val="single" w:sz="4" w:space="0" w:color="auto"/>
              <w:left w:val="nil"/>
              <w:bottom w:val="single" w:sz="4" w:space="0" w:color="auto"/>
              <w:right w:val="nil"/>
            </w:tcBorders>
            <w:shd w:val="clear" w:color="auto" w:fill="auto"/>
            <w:vAlign w:val="bottom"/>
            <w:hideMark/>
          </w:tcPr>
          <w:p w14:paraId="46368AA9" w14:textId="77777777" w:rsidR="00C36708" w:rsidRPr="00C36708" w:rsidRDefault="00C36708" w:rsidP="00C36708">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w:t>
            </w:r>
          </w:p>
        </w:tc>
        <w:tc>
          <w:tcPr>
            <w:tcW w:w="644" w:type="pct"/>
            <w:tcBorders>
              <w:top w:val="single" w:sz="4" w:space="0" w:color="auto"/>
              <w:left w:val="nil"/>
              <w:bottom w:val="single" w:sz="4" w:space="0" w:color="auto"/>
              <w:right w:val="nil"/>
            </w:tcBorders>
            <w:shd w:val="clear" w:color="auto" w:fill="auto"/>
            <w:vAlign w:val="bottom"/>
            <w:hideMark/>
          </w:tcPr>
          <w:p w14:paraId="3572450B"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FY18</w:t>
            </w:r>
          </w:p>
        </w:tc>
        <w:tc>
          <w:tcPr>
            <w:tcW w:w="685" w:type="pct"/>
            <w:tcBorders>
              <w:top w:val="single" w:sz="4" w:space="0" w:color="auto"/>
              <w:left w:val="nil"/>
              <w:bottom w:val="single" w:sz="4" w:space="0" w:color="auto"/>
              <w:right w:val="nil"/>
            </w:tcBorders>
            <w:shd w:val="clear" w:color="auto" w:fill="auto"/>
            <w:vAlign w:val="bottom"/>
            <w:hideMark/>
          </w:tcPr>
          <w:p w14:paraId="7BCF940E"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FY19</w:t>
            </w:r>
          </w:p>
        </w:tc>
        <w:tc>
          <w:tcPr>
            <w:tcW w:w="759" w:type="pct"/>
            <w:tcBorders>
              <w:top w:val="single" w:sz="4" w:space="0" w:color="auto"/>
              <w:left w:val="nil"/>
              <w:bottom w:val="single" w:sz="4" w:space="0" w:color="auto"/>
              <w:right w:val="nil"/>
            </w:tcBorders>
            <w:shd w:val="clear" w:color="auto" w:fill="auto"/>
            <w:vAlign w:val="bottom"/>
            <w:hideMark/>
          </w:tcPr>
          <w:p w14:paraId="656FCDDA"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FY20</w:t>
            </w:r>
          </w:p>
        </w:tc>
        <w:tc>
          <w:tcPr>
            <w:tcW w:w="645" w:type="pct"/>
            <w:tcBorders>
              <w:top w:val="single" w:sz="4" w:space="0" w:color="auto"/>
              <w:left w:val="nil"/>
              <w:bottom w:val="single" w:sz="4" w:space="0" w:color="auto"/>
              <w:right w:val="nil"/>
            </w:tcBorders>
            <w:shd w:val="clear" w:color="auto" w:fill="auto"/>
            <w:vAlign w:val="bottom"/>
            <w:hideMark/>
          </w:tcPr>
          <w:p w14:paraId="0D390C46"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FY21</w:t>
            </w:r>
          </w:p>
        </w:tc>
        <w:tc>
          <w:tcPr>
            <w:tcW w:w="597" w:type="pct"/>
            <w:tcBorders>
              <w:top w:val="single" w:sz="4" w:space="0" w:color="auto"/>
              <w:left w:val="nil"/>
              <w:bottom w:val="single" w:sz="4" w:space="0" w:color="auto"/>
              <w:right w:val="nil"/>
            </w:tcBorders>
            <w:shd w:val="clear" w:color="auto" w:fill="auto"/>
            <w:vAlign w:val="bottom"/>
            <w:hideMark/>
          </w:tcPr>
          <w:p w14:paraId="6098985E"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FY22</w:t>
            </w:r>
          </w:p>
        </w:tc>
      </w:tr>
      <w:tr w:rsidR="00C36708" w:rsidRPr="00C36708" w14:paraId="090C7967" w14:textId="77777777" w:rsidTr="00D34013">
        <w:trPr>
          <w:trHeight w:val="20"/>
        </w:trPr>
        <w:tc>
          <w:tcPr>
            <w:tcW w:w="1670" w:type="pct"/>
            <w:tcBorders>
              <w:top w:val="nil"/>
              <w:left w:val="nil"/>
              <w:bottom w:val="nil"/>
              <w:right w:val="nil"/>
            </w:tcBorders>
            <w:shd w:val="clear" w:color="auto" w:fill="auto"/>
            <w:vAlign w:val="bottom"/>
            <w:hideMark/>
          </w:tcPr>
          <w:p w14:paraId="5ECFC04D"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Real Property</w:t>
            </w:r>
          </w:p>
        </w:tc>
        <w:tc>
          <w:tcPr>
            <w:tcW w:w="644" w:type="pct"/>
            <w:tcBorders>
              <w:top w:val="nil"/>
              <w:left w:val="nil"/>
              <w:bottom w:val="nil"/>
              <w:right w:val="nil"/>
            </w:tcBorders>
            <w:shd w:val="clear" w:color="auto" w:fill="auto"/>
            <w:vAlign w:val="bottom"/>
            <w:hideMark/>
          </w:tcPr>
          <w:p w14:paraId="63112B2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6.7%</w:t>
            </w:r>
          </w:p>
        </w:tc>
        <w:tc>
          <w:tcPr>
            <w:tcW w:w="685" w:type="pct"/>
            <w:tcBorders>
              <w:top w:val="nil"/>
              <w:left w:val="nil"/>
              <w:bottom w:val="nil"/>
              <w:right w:val="nil"/>
            </w:tcBorders>
            <w:shd w:val="clear" w:color="auto" w:fill="auto"/>
            <w:vAlign w:val="bottom"/>
            <w:hideMark/>
          </w:tcPr>
          <w:p w14:paraId="24B16790"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6.1%</w:t>
            </w:r>
          </w:p>
        </w:tc>
        <w:tc>
          <w:tcPr>
            <w:tcW w:w="759" w:type="pct"/>
            <w:tcBorders>
              <w:top w:val="nil"/>
              <w:left w:val="nil"/>
              <w:bottom w:val="nil"/>
              <w:right w:val="nil"/>
            </w:tcBorders>
            <w:shd w:val="clear" w:color="auto" w:fill="auto"/>
            <w:vAlign w:val="bottom"/>
            <w:hideMark/>
          </w:tcPr>
          <w:p w14:paraId="44DEC47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6.2%</w:t>
            </w:r>
          </w:p>
        </w:tc>
        <w:tc>
          <w:tcPr>
            <w:tcW w:w="645" w:type="pct"/>
            <w:tcBorders>
              <w:top w:val="nil"/>
              <w:left w:val="nil"/>
              <w:bottom w:val="nil"/>
              <w:right w:val="nil"/>
            </w:tcBorders>
            <w:shd w:val="clear" w:color="auto" w:fill="auto"/>
            <w:vAlign w:val="bottom"/>
            <w:hideMark/>
          </w:tcPr>
          <w:p w14:paraId="3124228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5.4%</w:t>
            </w:r>
          </w:p>
        </w:tc>
        <w:tc>
          <w:tcPr>
            <w:tcW w:w="597" w:type="pct"/>
            <w:tcBorders>
              <w:top w:val="nil"/>
              <w:left w:val="nil"/>
              <w:bottom w:val="nil"/>
              <w:right w:val="nil"/>
            </w:tcBorders>
            <w:shd w:val="clear" w:color="auto" w:fill="auto"/>
            <w:vAlign w:val="bottom"/>
            <w:hideMark/>
          </w:tcPr>
          <w:p w14:paraId="524DADAC"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5.1%</w:t>
            </w:r>
          </w:p>
        </w:tc>
      </w:tr>
      <w:tr w:rsidR="00C36708" w:rsidRPr="00C36708" w14:paraId="30F66B24" w14:textId="77777777" w:rsidTr="00D34013">
        <w:trPr>
          <w:trHeight w:val="20"/>
        </w:trPr>
        <w:tc>
          <w:tcPr>
            <w:tcW w:w="1670" w:type="pct"/>
            <w:tcBorders>
              <w:top w:val="nil"/>
              <w:left w:val="nil"/>
              <w:bottom w:val="nil"/>
              <w:right w:val="nil"/>
            </w:tcBorders>
            <w:shd w:val="clear" w:color="auto" w:fill="auto"/>
            <w:vAlign w:val="bottom"/>
            <w:hideMark/>
          </w:tcPr>
          <w:p w14:paraId="3E9A16B2"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Personal Income</w:t>
            </w:r>
          </w:p>
        </w:tc>
        <w:tc>
          <w:tcPr>
            <w:tcW w:w="644" w:type="pct"/>
            <w:tcBorders>
              <w:top w:val="nil"/>
              <w:left w:val="nil"/>
              <w:bottom w:val="nil"/>
              <w:right w:val="nil"/>
            </w:tcBorders>
            <w:shd w:val="clear" w:color="auto" w:fill="auto"/>
            <w:vAlign w:val="bottom"/>
            <w:hideMark/>
          </w:tcPr>
          <w:p w14:paraId="38657FE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9.5%</w:t>
            </w:r>
          </w:p>
        </w:tc>
        <w:tc>
          <w:tcPr>
            <w:tcW w:w="685" w:type="pct"/>
            <w:tcBorders>
              <w:top w:val="nil"/>
              <w:left w:val="nil"/>
              <w:bottom w:val="nil"/>
              <w:right w:val="nil"/>
            </w:tcBorders>
            <w:shd w:val="clear" w:color="auto" w:fill="auto"/>
            <w:vAlign w:val="bottom"/>
            <w:hideMark/>
          </w:tcPr>
          <w:p w14:paraId="28E9C26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4.6%</w:t>
            </w:r>
          </w:p>
        </w:tc>
        <w:tc>
          <w:tcPr>
            <w:tcW w:w="759" w:type="pct"/>
            <w:tcBorders>
              <w:top w:val="nil"/>
              <w:left w:val="nil"/>
              <w:bottom w:val="nil"/>
              <w:right w:val="nil"/>
            </w:tcBorders>
            <w:shd w:val="clear" w:color="auto" w:fill="auto"/>
            <w:vAlign w:val="bottom"/>
            <w:hideMark/>
          </w:tcPr>
          <w:p w14:paraId="2AD497D5"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3.0%</w:t>
            </w:r>
          </w:p>
        </w:tc>
        <w:tc>
          <w:tcPr>
            <w:tcW w:w="645" w:type="pct"/>
            <w:tcBorders>
              <w:top w:val="nil"/>
              <w:left w:val="nil"/>
              <w:bottom w:val="nil"/>
              <w:right w:val="nil"/>
            </w:tcBorders>
            <w:shd w:val="clear" w:color="auto" w:fill="auto"/>
            <w:vAlign w:val="bottom"/>
            <w:hideMark/>
          </w:tcPr>
          <w:p w14:paraId="38D17DC0"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2.7%</w:t>
            </w:r>
          </w:p>
        </w:tc>
        <w:tc>
          <w:tcPr>
            <w:tcW w:w="597" w:type="pct"/>
            <w:tcBorders>
              <w:top w:val="nil"/>
              <w:left w:val="nil"/>
              <w:bottom w:val="nil"/>
              <w:right w:val="nil"/>
            </w:tcBorders>
            <w:shd w:val="clear" w:color="auto" w:fill="auto"/>
            <w:vAlign w:val="bottom"/>
            <w:hideMark/>
          </w:tcPr>
          <w:p w14:paraId="57D2118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2.7%</w:t>
            </w:r>
          </w:p>
        </w:tc>
      </w:tr>
      <w:tr w:rsidR="00C36708" w:rsidRPr="00C36708" w14:paraId="5C3D107B" w14:textId="77777777" w:rsidTr="00D34013">
        <w:trPr>
          <w:trHeight w:val="20"/>
        </w:trPr>
        <w:tc>
          <w:tcPr>
            <w:tcW w:w="1670" w:type="pct"/>
            <w:tcBorders>
              <w:top w:val="nil"/>
              <w:left w:val="nil"/>
              <w:bottom w:val="nil"/>
              <w:right w:val="nil"/>
            </w:tcBorders>
            <w:shd w:val="clear" w:color="auto" w:fill="auto"/>
            <w:vAlign w:val="bottom"/>
            <w:hideMark/>
          </w:tcPr>
          <w:p w14:paraId="7878FF6B"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Business Corporate</w:t>
            </w:r>
          </w:p>
        </w:tc>
        <w:tc>
          <w:tcPr>
            <w:tcW w:w="644" w:type="pct"/>
            <w:tcBorders>
              <w:top w:val="nil"/>
              <w:left w:val="nil"/>
              <w:bottom w:val="nil"/>
              <w:right w:val="nil"/>
            </w:tcBorders>
            <w:shd w:val="clear" w:color="auto" w:fill="auto"/>
            <w:vAlign w:val="bottom"/>
            <w:hideMark/>
          </w:tcPr>
          <w:p w14:paraId="54EBA6A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(1.6%)</w:t>
            </w:r>
          </w:p>
        </w:tc>
        <w:tc>
          <w:tcPr>
            <w:tcW w:w="685" w:type="pct"/>
            <w:tcBorders>
              <w:top w:val="nil"/>
              <w:left w:val="nil"/>
              <w:bottom w:val="nil"/>
              <w:right w:val="nil"/>
            </w:tcBorders>
            <w:shd w:val="clear" w:color="auto" w:fill="auto"/>
            <w:vAlign w:val="bottom"/>
            <w:hideMark/>
          </w:tcPr>
          <w:p w14:paraId="6F662FF5"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7.7%</w:t>
            </w:r>
          </w:p>
        </w:tc>
        <w:tc>
          <w:tcPr>
            <w:tcW w:w="759" w:type="pct"/>
            <w:tcBorders>
              <w:top w:val="nil"/>
              <w:left w:val="nil"/>
              <w:bottom w:val="nil"/>
              <w:right w:val="nil"/>
            </w:tcBorders>
            <w:shd w:val="clear" w:color="auto" w:fill="auto"/>
            <w:vAlign w:val="bottom"/>
            <w:hideMark/>
          </w:tcPr>
          <w:p w14:paraId="3E4AC68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3.1%</w:t>
            </w:r>
          </w:p>
        </w:tc>
        <w:tc>
          <w:tcPr>
            <w:tcW w:w="645" w:type="pct"/>
            <w:tcBorders>
              <w:top w:val="nil"/>
              <w:left w:val="nil"/>
              <w:bottom w:val="nil"/>
              <w:right w:val="nil"/>
            </w:tcBorders>
            <w:shd w:val="clear" w:color="auto" w:fill="auto"/>
            <w:vAlign w:val="bottom"/>
            <w:hideMark/>
          </w:tcPr>
          <w:p w14:paraId="55AF4B6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0.6%</w:t>
            </w:r>
          </w:p>
        </w:tc>
        <w:tc>
          <w:tcPr>
            <w:tcW w:w="597" w:type="pct"/>
            <w:tcBorders>
              <w:top w:val="nil"/>
              <w:left w:val="nil"/>
              <w:bottom w:val="nil"/>
              <w:right w:val="nil"/>
            </w:tcBorders>
            <w:shd w:val="clear" w:color="auto" w:fill="auto"/>
            <w:vAlign w:val="bottom"/>
            <w:hideMark/>
          </w:tcPr>
          <w:p w14:paraId="40ECEC9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1.7%</w:t>
            </w:r>
          </w:p>
        </w:tc>
      </w:tr>
      <w:tr w:rsidR="00C36708" w:rsidRPr="00C36708" w14:paraId="209C193A" w14:textId="77777777" w:rsidTr="00D34013">
        <w:trPr>
          <w:trHeight w:val="20"/>
        </w:trPr>
        <w:tc>
          <w:tcPr>
            <w:tcW w:w="1670" w:type="pct"/>
            <w:tcBorders>
              <w:top w:val="nil"/>
              <w:left w:val="nil"/>
              <w:bottom w:val="nil"/>
              <w:right w:val="nil"/>
            </w:tcBorders>
            <w:shd w:val="clear" w:color="auto" w:fill="auto"/>
            <w:vAlign w:val="bottom"/>
            <w:hideMark/>
          </w:tcPr>
          <w:p w14:paraId="2DAE1E4B"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Unincorporated</w:t>
            </w:r>
          </w:p>
        </w:tc>
        <w:tc>
          <w:tcPr>
            <w:tcW w:w="644" w:type="pct"/>
            <w:tcBorders>
              <w:top w:val="nil"/>
              <w:left w:val="nil"/>
              <w:bottom w:val="nil"/>
              <w:right w:val="nil"/>
            </w:tcBorders>
            <w:shd w:val="clear" w:color="auto" w:fill="auto"/>
            <w:vAlign w:val="bottom"/>
            <w:hideMark/>
          </w:tcPr>
          <w:p w14:paraId="0BCCF46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6.2%</w:t>
            </w:r>
          </w:p>
        </w:tc>
        <w:tc>
          <w:tcPr>
            <w:tcW w:w="685" w:type="pct"/>
            <w:tcBorders>
              <w:top w:val="nil"/>
              <w:left w:val="nil"/>
              <w:bottom w:val="nil"/>
              <w:right w:val="nil"/>
            </w:tcBorders>
            <w:shd w:val="clear" w:color="auto" w:fill="auto"/>
            <w:vAlign w:val="bottom"/>
            <w:hideMark/>
          </w:tcPr>
          <w:p w14:paraId="50C895AA"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7.1%</w:t>
            </w:r>
          </w:p>
        </w:tc>
        <w:tc>
          <w:tcPr>
            <w:tcW w:w="759" w:type="pct"/>
            <w:tcBorders>
              <w:top w:val="nil"/>
              <w:left w:val="nil"/>
              <w:bottom w:val="nil"/>
              <w:right w:val="nil"/>
            </w:tcBorders>
            <w:shd w:val="clear" w:color="auto" w:fill="auto"/>
            <w:vAlign w:val="bottom"/>
            <w:hideMark/>
          </w:tcPr>
          <w:p w14:paraId="3A2285D5"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5.4%</w:t>
            </w:r>
          </w:p>
        </w:tc>
        <w:tc>
          <w:tcPr>
            <w:tcW w:w="645" w:type="pct"/>
            <w:tcBorders>
              <w:top w:val="nil"/>
              <w:left w:val="nil"/>
              <w:bottom w:val="nil"/>
              <w:right w:val="nil"/>
            </w:tcBorders>
            <w:shd w:val="clear" w:color="auto" w:fill="auto"/>
            <w:vAlign w:val="bottom"/>
            <w:hideMark/>
          </w:tcPr>
          <w:p w14:paraId="59750582"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3.8%</w:t>
            </w:r>
          </w:p>
        </w:tc>
        <w:tc>
          <w:tcPr>
            <w:tcW w:w="597" w:type="pct"/>
            <w:tcBorders>
              <w:top w:val="nil"/>
              <w:left w:val="nil"/>
              <w:bottom w:val="nil"/>
              <w:right w:val="nil"/>
            </w:tcBorders>
            <w:shd w:val="clear" w:color="auto" w:fill="auto"/>
            <w:vAlign w:val="bottom"/>
            <w:hideMark/>
          </w:tcPr>
          <w:p w14:paraId="796130DA"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3.6%</w:t>
            </w:r>
          </w:p>
        </w:tc>
      </w:tr>
      <w:tr w:rsidR="00C36708" w:rsidRPr="00C36708" w14:paraId="3195D050" w14:textId="77777777" w:rsidTr="00D34013">
        <w:trPr>
          <w:trHeight w:val="20"/>
        </w:trPr>
        <w:tc>
          <w:tcPr>
            <w:tcW w:w="1670" w:type="pct"/>
            <w:tcBorders>
              <w:top w:val="nil"/>
              <w:left w:val="nil"/>
              <w:bottom w:val="nil"/>
              <w:right w:val="nil"/>
            </w:tcBorders>
            <w:shd w:val="clear" w:color="auto" w:fill="auto"/>
            <w:vAlign w:val="bottom"/>
            <w:hideMark/>
          </w:tcPr>
          <w:p w14:paraId="1F808DA1"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Sales</w:t>
            </w:r>
          </w:p>
        </w:tc>
        <w:tc>
          <w:tcPr>
            <w:tcW w:w="644" w:type="pct"/>
            <w:tcBorders>
              <w:top w:val="nil"/>
              <w:left w:val="nil"/>
              <w:bottom w:val="nil"/>
              <w:right w:val="nil"/>
            </w:tcBorders>
            <w:shd w:val="clear" w:color="auto" w:fill="auto"/>
            <w:vAlign w:val="bottom"/>
            <w:hideMark/>
          </w:tcPr>
          <w:p w14:paraId="21C61EE0"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5.7%</w:t>
            </w:r>
          </w:p>
        </w:tc>
        <w:tc>
          <w:tcPr>
            <w:tcW w:w="685" w:type="pct"/>
            <w:tcBorders>
              <w:top w:val="nil"/>
              <w:left w:val="nil"/>
              <w:bottom w:val="nil"/>
              <w:right w:val="nil"/>
            </w:tcBorders>
            <w:shd w:val="clear" w:color="auto" w:fill="auto"/>
            <w:vAlign w:val="bottom"/>
            <w:hideMark/>
          </w:tcPr>
          <w:p w14:paraId="489B327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5.0%</w:t>
            </w:r>
          </w:p>
        </w:tc>
        <w:tc>
          <w:tcPr>
            <w:tcW w:w="759" w:type="pct"/>
            <w:tcBorders>
              <w:top w:val="nil"/>
              <w:left w:val="nil"/>
              <w:bottom w:val="nil"/>
              <w:right w:val="nil"/>
            </w:tcBorders>
            <w:shd w:val="clear" w:color="auto" w:fill="auto"/>
            <w:vAlign w:val="bottom"/>
            <w:hideMark/>
          </w:tcPr>
          <w:p w14:paraId="04ECF1A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3.4%</w:t>
            </w:r>
          </w:p>
        </w:tc>
        <w:tc>
          <w:tcPr>
            <w:tcW w:w="645" w:type="pct"/>
            <w:tcBorders>
              <w:top w:val="nil"/>
              <w:left w:val="nil"/>
              <w:bottom w:val="nil"/>
              <w:right w:val="nil"/>
            </w:tcBorders>
            <w:shd w:val="clear" w:color="auto" w:fill="auto"/>
            <w:vAlign w:val="bottom"/>
            <w:hideMark/>
          </w:tcPr>
          <w:p w14:paraId="110054E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3.3%</w:t>
            </w:r>
          </w:p>
        </w:tc>
        <w:tc>
          <w:tcPr>
            <w:tcW w:w="597" w:type="pct"/>
            <w:tcBorders>
              <w:top w:val="nil"/>
              <w:left w:val="nil"/>
              <w:bottom w:val="nil"/>
              <w:right w:val="nil"/>
            </w:tcBorders>
            <w:shd w:val="clear" w:color="auto" w:fill="auto"/>
            <w:vAlign w:val="bottom"/>
            <w:hideMark/>
          </w:tcPr>
          <w:p w14:paraId="54C5568A"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2.6%</w:t>
            </w:r>
          </w:p>
        </w:tc>
      </w:tr>
      <w:tr w:rsidR="00C36708" w:rsidRPr="00C36708" w14:paraId="658AE31C" w14:textId="77777777" w:rsidTr="00D34013">
        <w:trPr>
          <w:trHeight w:val="20"/>
        </w:trPr>
        <w:tc>
          <w:tcPr>
            <w:tcW w:w="1670" w:type="pct"/>
            <w:tcBorders>
              <w:top w:val="nil"/>
              <w:left w:val="nil"/>
              <w:bottom w:val="nil"/>
              <w:right w:val="nil"/>
            </w:tcBorders>
            <w:shd w:val="clear" w:color="auto" w:fill="auto"/>
            <w:vAlign w:val="bottom"/>
            <w:hideMark/>
          </w:tcPr>
          <w:p w14:paraId="5B656148"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Commercial Rent</w:t>
            </w:r>
          </w:p>
        </w:tc>
        <w:tc>
          <w:tcPr>
            <w:tcW w:w="644" w:type="pct"/>
            <w:tcBorders>
              <w:top w:val="nil"/>
              <w:left w:val="nil"/>
              <w:bottom w:val="nil"/>
              <w:right w:val="nil"/>
            </w:tcBorders>
            <w:shd w:val="clear" w:color="auto" w:fill="auto"/>
            <w:vAlign w:val="bottom"/>
            <w:hideMark/>
          </w:tcPr>
          <w:p w14:paraId="5B51E74A"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3.3%</w:t>
            </w:r>
          </w:p>
        </w:tc>
        <w:tc>
          <w:tcPr>
            <w:tcW w:w="685" w:type="pct"/>
            <w:tcBorders>
              <w:top w:val="nil"/>
              <w:left w:val="nil"/>
              <w:bottom w:val="nil"/>
              <w:right w:val="nil"/>
            </w:tcBorders>
            <w:shd w:val="clear" w:color="auto" w:fill="auto"/>
            <w:vAlign w:val="bottom"/>
            <w:hideMark/>
          </w:tcPr>
          <w:p w14:paraId="7022DD7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2.2%</w:t>
            </w:r>
          </w:p>
        </w:tc>
        <w:tc>
          <w:tcPr>
            <w:tcW w:w="759" w:type="pct"/>
            <w:tcBorders>
              <w:top w:val="nil"/>
              <w:left w:val="nil"/>
              <w:bottom w:val="nil"/>
              <w:right w:val="nil"/>
            </w:tcBorders>
            <w:shd w:val="clear" w:color="auto" w:fill="auto"/>
            <w:vAlign w:val="bottom"/>
            <w:hideMark/>
          </w:tcPr>
          <w:p w14:paraId="049636E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4.8%</w:t>
            </w:r>
          </w:p>
        </w:tc>
        <w:tc>
          <w:tcPr>
            <w:tcW w:w="645" w:type="pct"/>
            <w:tcBorders>
              <w:top w:val="nil"/>
              <w:left w:val="nil"/>
              <w:bottom w:val="nil"/>
              <w:right w:val="nil"/>
            </w:tcBorders>
            <w:shd w:val="clear" w:color="auto" w:fill="auto"/>
            <w:vAlign w:val="bottom"/>
            <w:hideMark/>
          </w:tcPr>
          <w:p w14:paraId="11C529B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4.8%</w:t>
            </w:r>
          </w:p>
        </w:tc>
        <w:tc>
          <w:tcPr>
            <w:tcW w:w="597" w:type="pct"/>
            <w:tcBorders>
              <w:top w:val="nil"/>
              <w:left w:val="nil"/>
              <w:bottom w:val="nil"/>
              <w:right w:val="nil"/>
            </w:tcBorders>
            <w:shd w:val="clear" w:color="auto" w:fill="auto"/>
            <w:vAlign w:val="bottom"/>
            <w:hideMark/>
          </w:tcPr>
          <w:p w14:paraId="53DD22B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4.2%</w:t>
            </w:r>
          </w:p>
        </w:tc>
      </w:tr>
      <w:tr w:rsidR="00C36708" w:rsidRPr="00C36708" w14:paraId="157D9ADD" w14:textId="77777777" w:rsidTr="00D34013">
        <w:trPr>
          <w:trHeight w:val="20"/>
        </w:trPr>
        <w:tc>
          <w:tcPr>
            <w:tcW w:w="1670" w:type="pct"/>
            <w:tcBorders>
              <w:top w:val="nil"/>
              <w:left w:val="nil"/>
              <w:bottom w:val="nil"/>
              <w:right w:val="nil"/>
            </w:tcBorders>
            <w:shd w:val="clear" w:color="auto" w:fill="auto"/>
            <w:vAlign w:val="bottom"/>
            <w:hideMark/>
          </w:tcPr>
          <w:p w14:paraId="1C378E54"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Real Property Transfer</w:t>
            </w:r>
          </w:p>
        </w:tc>
        <w:tc>
          <w:tcPr>
            <w:tcW w:w="644" w:type="pct"/>
            <w:tcBorders>
              <w:top w:val="nil"/>
              <w:left w:val="nil"/>
              <w:bottom w:val="nil"/>
              <w:right w:val="nil"/>
            </w:tcBorders>
            <w:shd w:val="clear" w:color="auto" w:fill="auto"/>
            <w:vAlign w:val="bottom"/>
            <w:hideMark/>
          </w:tcPr>
          <w:p w14:paraId="1A5BE83C"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(3.3%)</w:t>
            </w:r>
          </w:p>
        </w:tc>
        <w:tc>
          <w:tcPr>
            <w:tcW w:w="685" w:type="pct"/>
            <w:tcBorders>
              <w:top w:val="nil"/>
              <w:left w:val="nil"/>
              <w:bottom w:val="nil"/>
              <w:right w:val="nil"/>
            </w:tcBorders>
            <w:shd w:val="clear" w:color="auto" w:fill="auto"/>
            <w:vAlign w:val="bottom"/>
            <w:hideMark/>
          </w:tcPr>
          <w:p w14:paraId="52E916B8"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(0.5%)</w:t>
            </w:r>
          </w:p>
        </w:tc>
        <w:tc>
          <w:tcPr>
            <w:tcW w:w="759" w:type="pct"/>
            <w:tcBorders>
              <w:top w:val="nil"/>
              <w:left w:val="nil"/>
              <w:bottom w:val="nil"/>
              <w:right w:val="nil"/>
            </w:tcBorders>
            <w:shd w:val="clear" w:color="auto" w:fill="auto"/>
            <w:vAlign w:val="bottom"/>
            <w:hideMark/>
          </w:tcPr>
          <w:p w14:paraId="5319714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1.7%</w:t>
            </w:r>
          </w:p>
        </w:tc>
        <w:tc>
          <w:tcPr>
            <w:tcW w:w="645" w:type="pct"/>
            <w:tcBorders>
              <w:top w:val="nil"/>
              <w:left w:val="nil"/>
              <w:bottom w:val="nil"/>
              <w:right w:val="nil"/>
            </w:tcBorders>
            <w:shd w:val="clear" w:color="auto" w:fill="auto"/>
            <w:vAlign w:val="bottom"/>
            <w:hideMark/>
          </w:tcPr>
          <w:p w14:paraId="121B81D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2.1%</w:t>
            </w:r>
          </w:p>
        </w:tc>
        <w:tc>
          <w:tcPr>
            <w:tcW w:w="597" w:type="pct"/>
            <w:tcBorders>
              <w:top w:val="nil"/>
              <w:left w:val="nil"/>
              <w:bottom w:val="nil"/>
              <w:right w:val="nil"/>
            </w:tcBorders>
            <w:shd w:val="clear" w:color="auto" w:fill="auto"/>
            <w:vAlign w:val="bottom"/>
            <w:hideMark/>
          </w:tcPr>
          <w:p w14:paraId="4451E9A8"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1.2%</w:t>
            </w:r>
          </w:p>
        </w:tc>
      </w:tr>
      <w:tr w:rsidR="00C36708" w:rsidRPr="00C36708" w14:paraId="7CE2C227" w14:textId="77777777" w:rsidTr="00D34013">
        <w:trPr>
          <w:trHeight w:val="20"/>
        </w:trPr>
        <w:tc>
          <w:tcPr>
            <w:tcW w:w="1670" w:type="pct"/>
            <w:tcBorders>
              <w:top w:val="nil"/>
              <w:left w:val="nil"/>
              <w:bottom w:val="nil"/>
              <w:right w:val="nil"/>
            </w:tcBorders>
            <w:shd w:val="clear" w:color="auto" w:fill="auto"/>
            <w:vAlign w:val="bottom"/>
            <w:hideMark/>
          </w:tcPr>
          <w:p w14:paraId="0EAAD90B"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Mortgage Recording</w:t>
            </w:r>
          </w:p>
        </w:tc>
        <w:tc>
          <w:tcPr>
            <w:tcW w:w="644" w:type="pct"/>
            <w:tcBorders>
              <w:top w:val="nil"/>
              <w:left w:val="nil"/>
              <w:bottom w:val="nil"/>
              <w:right w:val="nil"/>
            </w:tcBorders>
            <w:shd w:val="clear" w:color="auto" w:fill="auto"/>
            <w:vAlign w:val="bottom"/>
            <w:hideMark/>
          </w:tcPr>
          <w:p w14:paraId="4B553CC8"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(6.1%)</w:t>
            </w:r>
          </w:p>
        </w:tc>
        <w:tc>
          <w:tcPr>
            <w:tcW w:w="685" w:type="pct"/>
            <w:tcBorders>
              <w:top w:val="nil"/>
              <w:left w:val="nil"/>
              <w:bottom w:val="nil"/>
              <w:right w:val="nil"/>
            </w:tcBorders>
            <w:shd w:val="clear" w:color="auto" w:fill="auto"/>
            <w:vAlign w:val="bottom"/>
            <w:hideMark/>
          </w:tcPr>
          <w:p w14:paraId="2009B0E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(6.0%)</w:t>
            </w:r>
          </w:p>
        </w:tc>
        <w:tc>
          <w:tcPr>
            <w:tcW w:w="759" w:type="pct"/>
            <w:tcBorders>
              <w:top w:val="nil"/>
              <w:left w:val="nil"/>
              <w:bottom w:val="nil"/>
              <w:right w:val="nil"/>
            </w:tcBorders>
            <w:shd w:val="clear" w:color="auto" w:fill="auto"/>
            <w:vAlign w:val="bottom"/>
            <w:hideMark/>
          </w:tcPr>
          <w:p w14:paraId="2ED55FF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2.1%</w:t>
            </w:r>
          </w:p>
        </w:tc>
        <w:tc>
          <w:tcPr>
            <w:tcW w:w="645" w:type="pct"/>
            <w:tcBorders>
              <w:top w:val="nil"/>
              <w:left w:val="nil"/>
              <w:bottom w:val="nil"/>
              <w:right w:val="nil"/>
            </w:tcBorders>
            <w:shd w:val="clear" w:color="auto" w:fill="auto"/>
            <w:vAlign w:val="bottom"/>
            <w:hideMark/>
          </w:tcPr>
          <w:p w14:paraId="4AD082B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(1.5%)</w:t>
            </w:r>
          </w:p>
        </w:tc>
        <w:tc>
          <w:tcPr>
            <w:tcW w:w="597" w:type="pct"/>
            <w:tcBorders>
              <w:top w:val="nil"/>
              <w:left w:val="nil"/>
              <w:bottom w:val="nil"/>
              <w:right w:val="nil"/>
            </w:tcBorders>
            <w:shd w:val="clear" w:color="auto" w:fill="auto"/>
            <w:vAlign w:val="bottom"/>
            <w:hideMark/>
          </w:tcPr>
          <w:p w14:paraId="3C329DF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0.1%</w:t>
            </w:r>
          </w:p>
        </w:tc>
      </w:tr>
      <w:tr w:rsidR="00C36708" w:rsidRPr="00C36708" w14:paraId="4F8A7D3C" w14:textId="77777777" w:rsidTr="00D34013">
        <w:trPr>
          <w:trHeight w:val="20"/>
        </w:trPr>
        <w:tc>
          <w:tcPr>
            <w:tcW w:w="1670" w:type="pct"/>
            <w:tcBorders>
              <w:top w:val="nil"/>
              <w:left w:val="nil"/>
              <w:bottom w:val="nil"/>
              <w:right w:val="nil"/>
            </w:tcBorders>
            <w:shd w:val="clear" w:color="auto" w:fill="auto"/>
            <w:vAlign w:val="bottom"/>
            <w:hideMark/>
          </w:tcPr>
          <w:p w14:paraId="223F3F91"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Utility</w:t>
            </w:r>
          </w:p>
        </w:tc>
        <w:tc>
          <w:tcPr>
            <w:tcW w:w="644" w:type="pct"/>
            <w:tcBorders>
              <w:top w:val="nil"/>
              <w:left w:val="nil"/>
              <w:bottom w:val="nil"/>
              <w:right w:val="nil"/>
            </w:tcBorders>
            <w:shd w:val="clear" w:color="auto" w:fill="auto"/>
            <w:vAlign w:val="bottom"/>
            <w:hideMark/>
          </w:tcPr>
          <w:p w14:paraId="6F7658A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(3.3%)</w:t>
            </w:r>
          </w:p>
        </w:tc>
        <w:tc>
          <w:tcPr>
            <w:tcW w:w="685" w:type="pct"/>
            <w:tcBorders>
              <w:top w:val="nil"/>
              <w:left w:val="nil"/>
              <w:bottom w:val="nil"/>
              <w:right w:val="nil"/>
            </w:tcBorders>
            <w:shd w:val="clear" w:color="auto" w:fill="auto"/>
            <w:vAlign w:val="bottom"/>
            <w:hideMark/>
          </w:tcPr>
          <w:p w14:paraId="2A3389E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0.4%</w:t>
            </w:r>
          </w:p>
        </w:tc>
        <w:tc>
          <w:tcPr>
            <w:tcW w:w="759" w:type="pct"/>
            <w:tcBorders>
              <w:top w:val="nil"/>
              <w:left w:val="nil"/>
              <w:bottom w:val="nil"/>
              <w:right w:val="nil"/>
            </w:tcBorders>
            <w:shd w:val="clear" w:color="auto" w:fill="auto"/>
            <w:vAlign w:val="bottom"/>
            <w:hideMark/>
          </w:tcPr>
          <w:p w14:paraId="163E6CB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2.5%</w:t>
            </w:r>
          </w:p>
        </w:tc>
        <w:tc>
          <w:tcPr>
            <w:tcW w:w="645" w:type="pct"/>
            <w:tcBorders>
              <w:top w:val="nil"/>
              <w:left w:val="nil"/>
              <w:bottom w:val="nil"/>
              <w:right w:val="nil"/>
            </w:tcBorders>
            <w:shd w:val="clear" w:color="auto" w:fill="auto"/>
            <w:vAlign w:val="bottom"/>
            <w:hideMark/>
          </w:tcPr>
          <w:p w14:paraId="73DD5D6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2.3%</w:t>
            </w:r>
          </w:p>
        </w:tc>
        <w:tc>
          <w:tcPr>
            <w:tcW w:w="597" w:type="pct"/>
            <w:tcBorders>
              <w:top w:val="nil"/>
              <w:left w:val="nil"/>
              <w:bottom w:val="nil"/>
              <w:right w:val="nil"/>
            </w:tcBorders>
            <w:shd w:val="clear" w:color="auto" w:fill="auto"/>
            <w:vAlign w:val="bottom"/>
            <w:hideMark/>
          </w:tcPr>
          <w:p w14:paraId="0E54353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2.8%</w:t>
            </w:r>
          </w:p>
        </w:tc>
      </w:tr>
      <w:tr w:rsidR="00C36708" w:rsidRPr="00C36708" w14:paraId="1C74A444" w14:textId="77777777" w:rsidTr="00D34013">
        <w:trPr>
          <w:trHeight w:val="20"/>
        </w:trPr>
        <w:tc>
          <w:tcPr>
            <w:tcW w:w="1670" w:type="pct"/>
            <w:tcBorders>
              <w:top w:val="nil"/>
              <w:left w:val="nil"/>
              <w:bottom w:val="nil"/>
              <w:right w:val="nil"/>
            </w:tcBorders>
            <w:shd w:val="clear" w:color="auto" w:fill="auto"/>
            <w:vAlign w:val="bottom"/>
            <w:hideMark/>
          </w:tcPr>
          <w:p w14:paraId="0EF3431D"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Hotels</w:t>
            </w:r>
          </w:p>
        </w:tc>
        <w:tc>
          <w:tcPr>
            <w:tcW w:w="644" w:type="pct"/>
            <w:tcBorders>
              <w:top w:val="nil"/>
              <w:left w:val="nil"/>
              <w:bottom w:val="nil"/>
              <w:right w:val="nil"/>
            </w:tcBorders>
            <w:shd w:val="clear" w:color="auto" w:fill="auto"/>
            <w:vAlign w:val="bottom"/>
            <w:hideMark/>
          </w:tcPr>
          <w:p w14:paraId="25625A9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1.6%</w:t>
            </w:r>
          </w:p>
        </w:tc>
        <w:tc>
          <w:tcPr>
            <w:tcW w:w="685" w:type="pct"/>
            <w:tcBorders>
              <w:top w:val="nil"/>
              <w:left w:val="nil"/>
              <w:bottom w:val="nil"/>
              <w:right w:val="nil"/>
            </w:tcBorders>
            <w:shd w:val="clear" w:color="auto" w:fill="auto"/>
            <w:vAlign w:val="bottom"/>
            <w:hideMark/>
          </w:tcPr>
          <w:p w14:paraId="493B4A3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4.3%</w:t>
            </w:r>
          </w:p>
        </w:tc>
        <w:tc>
          <w:tcPr>
            <w:tcW w:w="759" w:type="pct"/>
            <w:tcBorders>
              <w:top w:val="nil"/>
              <w:left w:val="nil"/>
              <w:bottom w:val="nil"/>
              <w:right w:val="nil"/>
            </w:tcBorders>
            <w:shd w:val="clear" w:color="auto" w:fill="auto"/>
            <w:vAlign w:val="bottom"/>
            <w:hideMark/>
          </w:tcPr>
          <w:p w14:paraId="029C2D7B"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4.1%</w:t>
            </w:r>
          </w:p>
        </w:tc>
        <w:tc>
          <w:tcPr>
            <w:tcW w:w="645" w:type="pct"/>
            <w:tcBorders>
              <w:top w:val="nil"/>
              <w:left w:val="nil"/>
              <w:bottom w:val="nil"/>
              <w:right w:val="nil"/>
            </w:tcBorders>
            <w:shd w:val="clear" w:color="auto" w:fill="auto"/>
            <w:vAlign w:val="bottom"/>
            <w:hideMark/>
          </w:tcPr>
          <w:p w14:paraId="3C896BF3"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3.5%</w:t>
            </w:r>
          </w:p>
        </w:tc>
        <w:tc>
          <w:tcPr>
            <w:tcW w:w="597" w:type="pct"/>
            <w:tcBorders>
              <w:top w:val="nil"/>
              <w:left w:val="nil"/>
              <w:bottom w:val="nil"/>
              <w:right w:val="nil"/>
            </w:tcBorders>
            <w:shd w:val="clear" w:color="auto" w:fill="auto"/>
            <w:vAlign w:val="bottom"/>
            <w:hideMark/>
          </w:tcPr>
          <w:p w14:paraId="7EFF1FD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3.5%</w:t>
            </w:r>
          </w:p>
        </w:tc>
      </w:tr>
      <w:tr w:rsidR="00C36708" w:rsidRPr="00C36708" w14:paraId="15059E85" w14:textId="77777777" w:rsidTr="00D34013">
        <w:trPr>
          <w:trHeight w:val="20"/>
        </w:trPr>
        <w:tc>
          <w:tcPr>
            <w:tcW w:w="1670" w:type="pct"/>
            <w:tcBorders>
              <w:top w:val="nil"/>
              <w:left w:val="nil"/>
              <w:bottom w:val="nil"/>
              <w:right w:val="nil"/>
            </w:tcBorders>
            <w:shd w:val="clear" w:color="auto" w:fill="auto"/>
            <w:vAlign w:val="bottom"/>
            <w:hideMark/>
          </w:tcPr>
          <w:p w14:paraId="41CE8A9D"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All Others</w:t>
            </w:r>
          </w:p>
        </w:tc>
        <w:tc>
          <w:tcPr>
            <w:tcW w:w="644" w:type="pct"/>
            <w:tcBorders>
              <w:top w:val="nil"/>
              <w:left w:val="nil"/>
              <w:bottom w:val="nil"/>
              <w:right w:val="nil"/>
            </w:tcBorders>
            <w:shd w:val="clear" w:color="auto" w:fill="auto"/>
            <w:vAlign w:val="bottom"/>
            <w:hideMark/>
          </w:tcPr>
          <w:p w14:paraId="2BA86E92"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(5.0%)</w:t>
            </w:r>
          </w:p>
        </w:tc>
        <w:tc>
          <w:tcPr>
            <w:tcW w:w="685" w:type="pct"/>
            <w:tcBorders>
              <w:top w:val="nil"/>
              <w:left w:val="nil"/>
              <w:bottom w:val="nil"/>
              <w:right w:val="nil"/>
            </w:tcBorders>
            <w:shd w:val="clear" w:color="auto" w:fill="auto"/>
            <w:vAlign w:val="bottom"/>
            <w:hideMark/>
          </w:tcPr>
          <w:p w14:paraId="77A6A01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(3.4%)</w:t>
            </w:r>
          </w:p>
        </w:tc>
        <w:tc>
          <w:tcPr>
            <w:tcW w:w="759" w:type="pct"/>
            <w:tcBorders>
              <w:top w:val="nil"/>
              <w:left w:val="nil"/>
              <w:bottom w:val="nil"/>
              <w:right w:val="nil"/>
            </w:tcBorders>
            <w:shd w:val="clear" w:color="auto" w:fill="auto"/>
            <w:vAlign w:val="bottom"/>
            <w:hideMark/>
          </w:tcPr>
          <w:p w14:paraId="4E58966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(0.4%)</w:t>
            </w:r>
          </w:p>
        </w:tc>
        <w:tc>
          <w:tcPr>
            <w:tcW w:w="645" w:type="pct"/>
            <w:tcBorders>
              <w:top w:val="nil"/>
              <w:left w:val="nil"/>
              <w:bottom w:val="nil"/>
              <w:right w:val="nil"/>
            </w:tcBorders>
            <w:shd w:val="clear" w:color="auto" w:fill="auto"/>
            <w:vAlign w:val="bottom"/>
            <w:hideMark/>
          </w:tcPr>
          <w:p w14:paraId="378DE32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(0.3%)</w:t>
            </w:r>
          </w:p>
        </w:tc>
        <w:tc>
          <w:tcPr>
            <w:tcW w:w="597" w:type="pct"/>
            <w:tcBorders>
              <w:top w:val="nil"/>
              <w:left w:val="nil"/>
              <w:bottom w:val="nil"/>
              <w:right w:val="nil"/>
            </w:tcBorders>
            <w:shd w:val="clear" w:color="auto" w:fill="auto"/>
            <w:vAlign w:val="bottom"/>
            <w:hideMark/>
          </w:tcPr>
          <w:p w14:paraId="59510A5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0.3%</w:t>
            </w:r>
          </w:p>
        </w:tc>
      </w:tr>
      <w:tr w:rsidR="00C36708" w:rsidRPr="00C36708" w14:paraId="5535E2A5" w14:textId="77777777" w:rsidTr="00D34013">
        <w:trPr>
          <w:trHeight w:val="20"/>
        </w:trPr>
        <w:tc>
          <w:tcPr>
            <w:tcW w:w="1670" w:type="pct"/>
            <w:tcBorders>
              <w:top w:val="nil"/>
              <w:left w:val="nil"/>
              <w:bottom w:val="nil"/>
              <w:right w:val="nil"/>
            </w:tcBorders>
            <w:shd w:val="clear" w:color="auto" w:fill="auto"/>
            <w:vAlign w:val="bottom"/>
            <w:hideMark/>
          </w:tcPr>
          <w:p w14:paraId="139F06AC"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Audits</w:t>
            </w:r>
          </w:p>
        </w:tc>
        <w:tc>
          <w:tcPr>
            <w:tcW w:w="644" w:type="pct"/>
            <w:tcBorders>
              <w:top w:val="nil"/>
              <w:left w:val="nil"/>
              <w:bottom w:val="nil"/>
              <w:right w:val="nil"/>
            </w:tcBorders>
            <w:shd w:val="clear" w:color="auto" w:fill="auto"/>
            <w:vAlign w:val="bottom"/>
            <w:hideMark/>
          </w:tcPr>
          <w:p w14:paraId="56CFAA5B"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0.2%</w:t>
            </w:r>
          </w:p>
        </w:tc>
        <w:tc>
          <w:tcPr>
            <w:tcW w:w="685" w:type="pct"/>
            <w:tcBorders>
              <w:top w:val="nil"/>
              <w:left w:val="nil"/>
              <w:bottom w:val="nil"/>
              <w:right w:val="nil"/>
            </w:tcBorders>
            <w:shd w:val="clear" w:color="auto" w:fill="auto"/>
            <w:vAlign w:val="bottom"/>
            <w:hideMark/>
          </w:tcPr>
          <w:p w14:paraId="77C755E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(18.7%)</w:t>
            </w:r>
          </w:p>
        </w:tc>
        <w:tc>
          <w:tcPr>
            <w:tcW w:w="759" w:type="pct"/>
            <w:tcBorders>
              <w:top w:val="nil"/>
              <w:left w:val="nil"/>
              <w:bottom w:val="nil"/>
              <w:right w:val="nil"/>
            </w:tcBorders>
            <w:shd w:val="clear" w:color="auto" w:fill="auto"/>
            <w:vAlign w:val="bottom"/>
            <w:hideMark/>
          </w:tcPr>
          <w:p w14:paraId="3537478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(22.3%)</w:t>
            </w:r>
          </w:p>
        </w:tc>
        <w:tc>
          <w:tcPr>
            <w:tcW w:w="645" w:type="pct"/>
            <w:tcBorders>
              <w:top w:val="nil"/>
              <w:left w:val="nil"/>
              <w:bottom w:val="nil"/>
              <w:right w:val="nil"/>
            </w:tcBorders>
            <w:shd w:val="clear" w:color="auto" w:fill="auto"/>
            <w:vAlign w:val="bottom"/>
            <w:hideMark/>
          </w:tcPr>
          <w:p w14:paraId="24BFB9F8"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0.0%</w:t>
            </w:r>
          </w:p>
        </w:tc>
        <w:tc>
          <w:tcPr>
            <w:tcW w:w="597" w:type="pct"/>
            <w:tcBorders>
              <w:top w:val="nil"/>
              <w:left w:val="nil"/>
              <w:bottom w:val="nil"/>
              <w:right w:val="nil"/>
            </w:tcBorders>
            <w:shd w:val="clear" w:color="auto" w:fill="auto"/>
            <w:vAlign w:val="bottom"/>
            <w:hideMark/>
          </w:tcPr>
          <w:p w14:paraId="6A4E343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0.0%</w:t>
            </w:r>
          </w:p>
        </w:tc>
      </w:tr>
      <w:tr w:rsidR="00C36708" w:rsidRPr="00C36708" w14:paraId="0680AD79" w14:textId="77777777" w:rsidTr="00D34013">
        <w:trPr>
          <w:trHeight w:val="20"/>
        </w:trPr>
        <w:tc>
          <w:tcPr>
            <w:tcW w:w="1670" w:type="pct"/>
            <w:tcBorders>
              <w:top w:val="nil"/>
              <w:left w:val="nil"/>
              <w:bottom w:val="single" w:sz="8" w:space="0" w:color="auto"/>
              <w:right w:val="nil"/>
            </w:tcBorders>
            <w:shd w:val="clear" w:color="auto" w:fill="auto"/>
            <w:vAlign w:val="bottom"/>
            <w:hideMark/>
          </w:tcPr>
          <w:p w14:paraId="0F44A46B" w14:textId="77777777" w:rsidR="00C36708" w:rsidRPr="00C36708" w:rsidRDefault="00C36708" w:rsidP="00C36708">
            <w:pPr>
              <w:spacing w:after="0"/>
              <w:jc w:val="lef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Total Taxes</w:t>
            </w:r>
          </w:p>
        </w:tc>
        <w:tc>
          <w:tcPr>
            <w:tcW w:w="644" w:type="pct"/>
            <w:tcBorders>
              <w:top w:val="single" w:sz="4" w:space="0" w:color="auto"/>
              <w:left w:val="nil"/>
              <w:bottom w:val="single" w:sz="8" w:space="0" w:color="auto"/>
              <w:right w:val="nil"/>
            </w:tcBorders>
            <w:shd w:val="clear" w:color="auto" w:fill="auto"/>
            <w:vAlign w:val="bottom"/>
            <w:hideMark/>
          </w:tcPr>
          <w:p w14:paraId="5764537E" w14:textId="77777777" w:rsidR="00C36708" w:rsidRPr="00C36708" w:rsidRDefault="00C36708" w:rsidP="008F180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5.5%</w:t>
            </w:r>
          </w:p>
        </w:tc>
        <w:tc>
          <w:tcPr>
            <w:tcW w:w="685" w:type="pct"/>
            <w:tcBorders>
              <w:top w:val="single" w:sz="4" w:space="0" w:color="auto"/>
              <w:left w:val="nil"/>
              <w:bottom w:val="single" w:sz="8" w:space="0" w:color="auto"/>
              <w:right w:val="nil"/>
            </w:tcBorders>
            <w:shd w:val="clear" w:color="auto" w:fill="auto"/>
            <w:vAlign w:val="bottom"/>
            <w:hideMark/>
          </w:tcPr>
          <w:p w14:paraId="3EE3F293" w14:textId="77777777" w:rsidR="00C36708" w:rsidRPr="00C36708" w:rsidRDefault="00C36708" w:rsidP="008F180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4.6%</w:t>
            </w:r>
          </w:p>
        </w:tc>
        <w:tc>
          <w:tcPr>
            <w:tcW w:w="759" w:type="pct"/>
            <w:tcBorders>
              <w:top w:val="single" w:sz="4" w:space="0" w:color="auto"/>
              <w:left w:val="nil"/>
              <w:bottom w:val="single" w:sz="8" w:space="0" w:color="auto"/>
              <w:right w:val="nil"/>
            </w:tcBorders>
            <w:shd w:val="clear" w:color="auto" w:fill="auto"/>
            <w:vAlign w:val="bottom"/>
            <w:hideMark/>
          </w:tcPr>
          <w:p w14:paraId="49DDB729" w14:textId="77777777" w:rsidR="00C36708" w:rsidRPr="00C36708" w:rsidRDefault="00C36708" w:rsidP="008F180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4.1%</w:t>
            </w:r>
          </w:p>
        </w:tc>
        <w:tc>
          <w:tcPr>
            <w:tcW w:w="645" w:type="pct"/>
            <w:tcBorders>
              <w:top w:val="single" w:sz="4" w:space="0" w:color="auto"/>
              <w:left w:val="nil"/>
              <w:bottom w:val="single" w:sz="8" w:space="0" w:color="auto"/>
              <w:right w:val="nil"/>
            </w:tcBorders>
            <w:shd w:val="clear" w:color="auto" w:fill="auto"/>
            <w:vAlign w:val="bottom"/>
            <w:hideMark/>
          </w:tcPr>
          <w:p w14:paraId="59C87DDA" w14:textId="77777777" w:rsidR="00C36708" w:rsidRPr="00C36708" w:rsidRDefault="00C36708" w:rsidP="008F180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3.8%</w:t>
            </w:r>
          </w:p>
        </w:tc>
        <w:tc>
          <w:tcPr>
            <w:tcW w:w="597" w:type="pct"/>
            <w:tcBorders>
              <w:top w:val="single" w:sz="4" w:space="0" w:color="auto"/>
              <w:left w:val="nil"/>
              <w:bottom w:val="single" w:sz="8" w:space="0" w:color="auto"/>
              <w:right w:val="nil"/>
            </w:tcBorders>
            <w:shd w:val="clear" w:color="auto" w:fill="auto"/>
            <w:vAlign w:val="bottom"/>
            <w:hideMark/>
          </w:tcPr>
          <w:p w14:paraId="7B910BDA" w14:textId="77777777" w:rsidR="00C36708" w:rsidRPr="00C36708" w:rsidRDefault="00C36708" w:rsidP="008F180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3.7%</w:t>
            </w:r>
          </w:p>
        </w:tc>
      </w:tr>
      <w:tr w:rsidR="00C36708" w:rsidRPr="00C36708" w14:paraId="3D1B17E8" w14:textId="77777777" w:rsidTr="008615A5">
        <w:trPr>
          <w:trHeight w:val="20"/>
        </w:trPr>
        <w:tc>
          <w:tcPr>
            <w:tcW w:w="4403" w:type="pct"/>
            <w:gridSpan w:val="5"/>
            <w:tcBorders>
              <w:top w:val="nil"/>
              <w:left w:val="nil"/>
              <w:bottom w:val="nil"/>
              <w:right w:val="nil"/>
            </w:tcBorders>
            <w:shd w:val="clear" w:color="auto" w:fill="auto"/>
            <w:noWrap/>
            <w:vAlign w:val="bottom"/>
            <w:hideMark/>
          </w:tcPr>
          <w:p w14:paraId="118BB76D" w14:textId="77777777" w:rsidR="00C36708" w:rsidRPr="00C36708" w:rsidRDefault="00C36708" w:rsidP="00C36708">
            <w:pPr>
              <w:spacing w:after="0"/>
              <w:jc w:val="left"/>
              <w:rPr>
                <w:rFonts w:ascii="Calibri" w:eastAsia="Times New Roman" w:hAnsi="Calibri" w:cs="Times New Roman"/>
                <w:i/>
                <w:iCs/>
                <w:color w:val="000000"/>
                <w:sz w:val="20"/>
                <w:szCs w:val="20"/>
              </w:rPr>
            </w:pPr>
            <w:r w:rsidRPr="00C36708">
              <w:rPr>
                <w:rFonts w:ascii="Calibri" w:eastAsia="Times New Roman" w:hAnsi="Calibri" w:cs="Times New Roman"/>
                <w:b/>
                <w:bCs/>
                <w:i/>
                <w:iCs/>
                <w:color w:val="000000"/>
                <w:sz w:val="20"/>
                <w:szCs w:val="20"/>
              </w:rPr>
              <w:t>Source:</w:t>
            </w:r>
            <w:r w:rsidRPr="00C36708">
              <w:rPr>
                <w:rFonts w:ascii="Calibri" w:eastAsia="Times New Roman" w:hAnsi="Calibri" w:cs="Times New Roman"/>
                <w:i/>
                <w:iCs/>
                <w:color w:val="000000"/>
                <w:sz w:val="20"/>
                <w:szCs w:val="20"/>
              </w:rPr>
              <w:t xml:space="preserve"> New York City Council Finance Division, Preliminary Budget Fiscal 2019</w:t>
            </w:r>
          </w:p>
        </w:tc>
        <w:tc>
          <w:tcPr>
            <w:tcW w:w="597" w:type="pct"/>
            <w:tcBorders>
              <w:top w:val="nil"/>
              <w:left w:val="nil"/>
              <w:bottom w:val="nil"/>
              <w:right w:val="nil"/>
            </w:tcBorders>
            <w:shd w:val="clear" w:color="auto" w:fill="auto"/>
            <w:vAlign w:val="bottom"/>
            <w:hideMark/>
          </w:tcPr>
          <w:p w14:paraId="38089A7A" w14:textId="77777777" w:rsidR="00C36708" w:rsidRPr="00C36708" w:rsidRDefault="00C36708" w:rsidP="00C36708">
            <w:pPr>
              <w:spacing w:after="0"/>
              <w:jc w:val="left"/>
              <w:rPr>
                <w:rFonts w:ascii="Calibri" w:eastAsia="Times New Roman" w:hAnsi="Calibri" w:cs="Times New Roman"/>
                <w:i/>
                <w:iCs/>
                <w:color w:val="000000"/>
                <w:sz w:val="20"/>
                <w:szCs w:val="20"/>
              </w:rPr>
            </w:pPr>
          </w:p>
        </w:tc>
      </w:tr>
    </w:tbl>
    <w:p w14:paraId="328AB8A4" w14:textId="5C8DA5C5" w:rsidR="008615A5" w:rsidRDefault="008615A5" w:rsidP="001B181A"/>
    <w:p w14:paraId="411D4D1C" w14:textId="77777777" w:rsidR="008615A5" w:rsidRDefault="008615A5">
      <w:pPr>
        <w:spacing w:after="160" w:line="259" w:lineRule="auto"/>
        <w:jc w:val="left"/>
      </w:pPr>
      <w:r>
        <w:br w:type="page"/>
      </w:r>
    </w:p>
    <w:tbl>
      <w:tblPr>
        <w:tblW w:w="5000" w:type="pct"/>
        <w:tblLook w:val="04A0" w:firstRow="1" w:lastRow="0" w:firstColumn="1" w:lastColumn="0" w:noHBand="0" w:noVBand="1"/>
      </w:tblPr>
      <w:tblGrid>
        <w:gridCol w:w="3243"/>
        <w:gridCol w:w="1161"/>
        <w:gridCol w:w="1177"/>
        <w:gridCol w:w="1320"/>
        <w:gridCol w:w="1177"/>
        <w:gridCol w:w="1282"/>
      </w:tblGrid>
      <w:tr w:rsidR="00C36708" w:rsidRPr="00C36708" w14:paraId="5A2BD550" w14:textId="77777777" w:rsidTr="00AD37ED">
        <w:trPr>
          <w:trHeight w:val="20"/>
        </w:trPr>
        <w:tc>
          <w:tcPr>
            <w:tcW w:w="5000" w:type="pct"/>
            <w:gridSpan w:val="6"/>
            <w:tcBorders>
              <w:top w:val="single" w:sz="8" w:space="0" w:color="auto"/>
              <w:left w:val="nil"/>
              <w:bottom w:val="single" w:sz="8" w:space="0" w:color="auto"/>
              <w:right w:val="nil"/>
            </w:tcBorders>
            <w:shd w:val="clear" w:color="auto" w:fill="auto"/>
            <w:noWrap/>
            <w:vAlign w:val="bottom"/>
            <w:hideMark/>
          </w:tcPr>
          <w:p w14:paraId="2306E27F" w14:textId="77777777" w:rsidR="00C36708" w:rsidRPr="00C36708" w:rsidRDefault="00C36708" w:rsidP="00C36708">
            <w:pPr>
              <w:spacing w:after="0"/>
              <w:jc w:val="lef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lastRenderedPageBreak/>
              <w:t>New York City Council Finance Division - Tax Revenue Difference From OMB</w:t>
            </w:r>
          </w:p>
        </w:tc>
      </w:tr>
      <w:tr w:rsidR="00C36708" w:rsidRPr="00C36708" w14:paraId="0DB57E36" w14:textId="77777777" w:rsidTr="00AD37ED">
        <w:trPr>
          <w:trHeight w:val="20"/>
        </w:trPr>
        <w:tc>
          <w:tcPr>
            <w:tcW w:w="1732" w:type="pct"/>
            <w:tcBorders>
              <w:top w:val="single" w:sz="4" w:space="0" w:color="auto"/>
              <w:left w:val="nil"/>
              <w:bottom w:val="single" w:sz="4" w:space="0" w:color="auto"/>
              <w:right w:val="nil"/>
            </w:tcBorders>
            <w:shd w:val="clear" w:color="auto" w:fill="auto"/>
            <w:vAlign w:val="bottom"/>
            <w:hideMark/>
          </w:tcPr>
          <w:p w14:paraId="5EA33A39" w14:textId="77777777" w:rsidR="00C36708" w:rsidRPr="00C36708" w:rsidRDefault="00C36708" w:rsidP="00C36708">
            <w:pPr>
              <w:spacing w:after="0"/>
              <w:jc w:val="center"/>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millions</w:t>
            </w:r>
          </w:p>
        </w:tc>
        <w:tc>
          <w:tcPr>
            <w:tcW w:w="620" w:type="pct"/>
            <w:tcBorders>
              <w:top w:val="single" w:sz="4" w:space="0" w:color="auto"/>
              <w:left w:val="nil"/>
              <w:bottom w:val="single" w:sz="4" w:space="0" w:color="auto"/>
              <w:right w:val="nil"/>
            </w:tcBorders>
            <w:shd w:val="clear" w:color="auto" w:fill="auto"/>
            <w:vAlign w:val="bottom"/>
            <w:hideMark/>
          </w:tcPr>
          <w:p w14:paraId="36FD8695"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FY18</w:t>
            </w:r>
          </w:p>
        </w:tc>
        <w:tc>
          <w:tcPr>
            <w:tcW w:w="629" w:type="pct"/>
            <w:tcBorders>
              <w:top w:val="single" w:sz="4" w:space="0" w:color="auto"/>
              <w:left w:val="nil"/>
              <w:bottom w:val="single" w:sz="4" w:space="0" w:color="auto"/>
              <w:right w:val="nil"/>
            </w:tcBorders>
            <w:shd w:val="clear" w:color="auto" w:fill="auto"/>
            <w:vAlign w:val="bottom"/>
            <w:hideMark/>
          </w:tcPr>
          <w:p w14:paraId="3720CEDB"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FY19</w:t>
            </w:r>
          </w:p>
        </w:tc>
        <w:tc>
          <w:tcPr>
            <w:tcW w:w="705" w:type="pct"/>
            <w:tcBorders>
              <w:top w:val="single" w:sz="4" w:space="0" w:color="auto"/>
              <w:left w:val="nil"/>
              <w:bottom w:val="single" w:sz="4" w:space="0" w:color="auto"/>
              <w:right w:val="nil"/>
            </w:tcBorders>
            <w:shd w:val="clear" w:color="auto" w:fill="auto"/>
            <w:vAlign w:val="bottom"/>
            <w:hideMark/>
          </w:tcPr>
          <w:p w14:paraId="00AC8167"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FY20</w:t>
            </w:r>
          </w:p>
        </w:tc>
        <w:tc>
          <w:tcPr>
            <w:tcW w:w="629" w:type="pct"/>
            <w:tcBorders>
              <w:top w:val="single" w:sz="4" w:space="0" w:color="auto"/>
              <w:left w:val="nil"/>
              <w:bottom w:val="single" w:sz="4" w:space="0" w:color="auto"/>
              <w:right w:val="nil"/>
            </w:tcBorders>
            <w:shd w:val="clear" w:color="auto" w:fill="auto"/>
            <w:vAlign w:val="bottom"/>
            <w:hideMark/>
          </w:tcPr>
          <w:p w14:paraId="74ECF7B9"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FY21</w:t>
            </w:r>
          </w:p>
        </w:tc>
        <w:tc>
          <w:tcPr>
            <w:tcW w:w="685" w:type="pct"/>
            <w:tcBorders>
              <w:top w:val="single" w:sz="4" w:space="0" w:color="auto"/>
              <w:left w:val="nil"/>
              <w:bottom w:val="single" w:sz="4" w:space="0" w:color="auto"/>
              <w:right w:val="nil"/>
            </w:tcBorders>
            <w:shd w:val="clear" w:color="auto" w:fill="auto"/>
            <w:vAlign w:val="bottom"/>
            <w:hideMark/>
          </w:tcPr>
          <w:p w14:paraId="41E873F6" w14:textId="77777777" w:rsidR="00C36708" w:rsidRPr="00C36708" w:rsidRDefault="00C36708" w:rsidP="00C36708">
            <w:pPr>
              <w:spacing w:after="0"/>
              <w:jc w:val="center"/>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FY22</w:t>
            </w:r>
          </w:p>
        </w:tc>
      </w:tr>
      <w:tr w:rsidR="00C36708" w:rsidRPr="00C36708" w14:paraId="1345E2C2" w14:textId="77777777" w:rsidTr="00AD37ED">
        <w:trPr>
          <w:trHeight w:val="20"/>
        </w:trPr>
        <w:tc>
          <w:tcPr>
            <w:tcW w:w="1732" w:type="pct"/>
            <w:tcBorders>
              <w:top w:val="nil"/>
              <w:left w:val="nil"/>
              <w:bottom w:val="nil"/>
              <w:right w:val="nil"/>
            </w:tcBorders>
            <w:shd w:val="clear" w:color="auto" w:fill="auto"/>
            <w:vAlign w:val="bottom"/>
            <w:hideMark/>
          </w:tcPr>
          <w:p w14:paraId="06B788EE"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Real Property</w:t>
            </w:r>
          </w:p>
        </w:tc>
        <w:tc>
          <w:tcPr>
            <w:tcW w:w="620" w:type="pct"/>
            <w:tcBorders>
              <w:top w:val="nil"/>
              <w:left w:val="nil"/>
              <w:bottom w:val="nil"/>
              <w:right w:val="nil"/>
            </w:tcBorders>
            <w:shd w:val="clear" w:color="auto" w:fill="auto"/>
            <w:vAlign w:val="bottom"/>
            <w:hideMark/>
          </w:tcPr>
          <w:p w14:paraId="4A0CC57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c>
          <w:tcPr>
            <w:tcW w:w="629" w:type="pct"/>
            <w:tcBorders>
              <w:top w:val="nil"/>
              <w:left w:val="nil"/>
              <w:bottom w:val="nil"/>
              <w:right w:val="nil"/>
            </w:tcBorders>
            <w:shd w:val="clear" w:color="auto" w:fill="auto"/>
            <w:vAlign w:val="bottom"/>
            <w:hideMark/>
          </w:tcPr>
          <w:p w14:paraId="67011AA2"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$6 </w:t>
            </w:r>
          </w:p>
        </w:tc>
        <w:tc>
          <w:tcPr>
            <w:tcW w:w="705" w:type="pct"/>
            <w:tcBorders>
              <w:top w:val="nil"/>
              <w:left w:val="nil"/>
              <w:bottom w:val="nil"/>
              <w:right w:val="nil"/>
            </w:tcBorders>
            <w:shd w:val="clear" w:color="auto" w:fill="auto"/>
            <w:vAlign w:val="bottom"/>
            <w:hideMark/>
          </w:tcPr>
          <w:p w14:paraId="3067AAF8"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$244 </w:t>
            </w:r>
          </w:p>
        </w:tc>
        <w:tc>
          <w:tcPr>
            <w:tcW w:w="629" w:type="pct"/>
            <w:tcBorders>
              <w:top w:val="nil"/>
              <w:left w:val="nil"/>
              <w:bottom w:val="nil"/>
              <w:right w:val="nil"/>
            </w:tcBorders>
            <w:shd w:val="clear" w:color="auto" w:fill="auto"/>
            <w:vAlign w:val="bottom"/>
            <w:hideMark/>
          </w:tcPr>
          <w:p w14:paraId="1416B813"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$551 </w:t>
            </w:r>
          </w:p>
        </w:tc>
        <w:tc>
          <w:tcPr>
            <w:tcW w:w="685" w:type="pct"/>
            <w:tcBorders>
              <w:top w:val="nil"/>
              <w:left w:val="nil"/>
              <w:bottom w:val="nil"/>
              <w:right w:val="nil"/>
            </w:tcBorders>
            <w:shd w:val="clear" w:color="auto" w:fill="auto"/>
            <w:vAlign w:val="bottom"/>
            <w:hideMark/>
          </w:tcPr>
          <w:p w14:paraId="46A06B6C"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$1,856 </w:t>
            </w:r>
          </w:p>
        </w:tc>
      </w:tr>
      <w:tr w:rsidR="00C36708" w:rsidRPr="00C36708" w14:paraId="51B5AD08" w14:textId="77777777" w:rsidTr="00AD37ED">
        <w:trPr>
          <w:trHeight w:val="20"/>
        </w:trPr>
        <w:tc>
          <w:tcPr>
            <w:tcW w:w="1732" w:type="pct"/>
            <w:tcBorders>
              <w:top w:val="nil"/>
              <w:left w:val="nil"/>
              <w:bottom w:val="nil"/>
              <w:right w:val="nil"/>
            </w:tcBorders>
            <w:shd w:val="clear" w:color="auto" w:fill="auto"/>
            <w:vAlign w:val="bottom"/>
            <w:hideMark/>
          </w:tcPr>
          <w:p w14:paraId="7B18DBC1"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Personal Income</w:t>
            </w:r>
          </w:p>
        </w:tc>
        <w:tc>
          <w:tcPr>
            <w:tcW w:w="620" w:type="pct"/>
            <w:tcBorders>
              <w:top w:val="nil"/>
              <w:left w:val="nil"/>
              <w:bottom w:val="nil"/>
              <w:right w:val="nil"/>
            </w:tcBorders>
            <w:shd w:val="clear" w:color="auto" w:fill="auto"/>
            <w:vAlign w:val="bottom"/>
            <w:hideMark/>
          </w:tcPr>
          <w:p w14:paraId="03B36C8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259 </w:t>
            </w:r>
          </w:p>
        </w:tc>
        <w:tc>
          <w:tcPr>
            <w:tcW w:w="629" w:type="pct"/>
            <w:tcBorders>
              <w:top w:val="nil"/>
              <w:left w:val="nil"/>
              <w:bottom w:val="nil"/>
              <w:right w:val="nil"/>
            </w:tcBorders>
            <w:shd w:val="clear" w:color="auto" w:fill="auto"/>
            <w:vAlign w:val="bottom"/>
            <w:hideMark/>
          </w:tcPr>
          <w:p w14:paraId="15585DBA"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492 </w:t>
            </w:r>
          </w:p>
        </w:tc>
        <w:tc>
          <w:tcPr>
            <w:tcW w:w="705" w:type="pct"/>
            <w:tcBorders>
              <w:top w:val="nil"/>
              <w:left w:val="nil"/>
              <w:bottom w:val="nil"/>
              <w:right w:val="nil"/>
            </w:tcBorders>
            <w:shd w:val="clear" w:color="auto" w:fill="auto"/>
            <w:vAlign w:val="bottom"/>
            <w:hideMark/>
          </w:tcPr>
          <w:p w14:paraId="7A106FC0"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302 </w:t>
            </w:r>
          </w:p>
        </w:tc>
        <w:tc>
          <w:tcPr>
            <w:tcW w:w="629" w:type="pct"/>
            <w:tcBorders>
              <w:top w:val="nil"/>
              <w:left w:val="nil"/>
              <w:bottom w:val="nil"/>
              <w:right w:val="nil"/>
            </w:tcBorders>
            <w:shd w:val="clear" w:color="auto" w:fill="auto"/>
            <w:vAlign w:val="bottom"/>
            <w:hideMark/>
          </w:tcPr>
          <w:p w14:paraId="639C080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136 </w:t>
            </w:r>
          </w:p>
        </w:tc>
        <w:tc>
          <w:tcPr>
            <w:tcW w:w="685" w:type="pct"/>
            <w:tcBorders>
              <w:top w:val="nil"/>
              <w:left w:val="nil"/>
              <w:bottom w:val="nil"/>
              <w:right w:val="nil"/>
            </w:tcBorders>
            <w:shd w:val="clear" w:color="auto" w:fill="auto"/>
            <w:vAlign w:val="bottom"/>
            <w:hideMark/>
          </w:tcPr>
          <w:p w14:paraId="73EC779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61 </w:t>
            </w:r>
          </w:p>
        </w:tc>
      </w:tr>
      <w:tr w:rsidR="00C36708" w:rsidRPr="00C36708" w14:paraId="0DF5C653" w14:textId="77777777" w:rsidTr="00AD37ED">
        <w:trPr>
          <w:trHeight w:val="20"/>
        </w:trPr>
        <w:tc>
          <w:tcPr>
            <w:tcW w:w="1732" w:type="pct"/>
            <w:tcBorders>
              <w:top w:val="nil"/>
              <w:left w:val="nil"/>
              <w:bottom w:val="nil"/>
              <w:right w:val="nil"/>
            </w:tcBorders>
            <w:shd w:val="clear" w:color="auto" w:fill="auto"/>
            <w:vAlign w:val="bottom"/>
            <w:hideMark/>
          </w:tcPr>
          <w:p w14:paraId="41BBF46E"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Business Corporate</w:t>
            </w:r>
          </w:p>
        </w:tc>
        <w:tc>
          <w:tcPr>
            <w:tcW w:w="620" w:type="pct"/>
            <w:tcBorders>
              <w:top w:val="nil"/>
              <w:left w:val="nil"/>
              <w:bottom w:val="nil"/>
              <w:right w:val="nil"/>
            </w:tcBorders>
            <w:shd w:val="clear" w:color="auto" w:fill="auto"/>
            <w:vAlign w:val="bottom"/>
            <w:hideMark/>
          </w:tcPr>
          <w:p w14:paraId="629D08B5"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(19)</w:t>
            </w:r>
          </w:p>
        </w:tc>
        <w:tc>
          <w:tcPr>
            <w:tcW w:w="629" w:type="pct"/>
            <w:tcBorders>
              <w:top w:val="nil"/>
              <w:left w:val="nil"/>
              <w:bottom w:val="nil"/>
              <w:right w:val="nil"/>
            </w:tcBorders>
            <w:shd w:val="clear" w:color="auto" w:fill="auto"/>
            <w:vAlign w:val="bottom"/>
            <w:hideMark/>
          </w:tcPr>
          <w:p w14:paraId="3D64056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(62)</w:t>
            </w:r>
          </w:p>
        </w:tc>
        <w:tc>
          <w:tcPr>
            <w:tcW w:w="705" w:type="pct"/>
            <w:tcBorders>
              <w:top w:val="nil"/>
              <w:left w:val="nil"/>
              <w:bottom w:val="nil"/>
              <w:right w:val="nil"/>
            </w:tcBorders>
            <w:shd w:val="clear" w:color="auto" w:fill="auto"/>
            <w:vAlign w:val="bottom"/>
            <w:hideMark/>
          </w:tcPr>
          <w:p w14:paraId="41305813"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45 </w:t>
            </w:r>
          </w:p>
        </w:tc>
        <w:tc>
          <w:tcPr>
            <w:tcW w:w="629" w:type="pct"/>
            <w:tcBorders>
              <w:top w:val="nil"/>
              <w:left w:val="nil"/>
              <w:bottom w:val="nil"/>
              <w:right w:val="nil"/>
            </w:tcBorders>
            <w:shd w:val="clear" w:color="auto" w:fill="auto"/>
            <w:vAlign w:val="bottom"/>
            <w:hideMark/>
          </w:tcPr>
          <w:p w14:paraId="76AF9CF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52 </w:t>
            </w:r>
          </w:p>
        </w:tc>
        <w:tc>
          <w:tcPr>
            <w:tcW w:w="685" w:type="pct"/>
            <w:tcBorders>
              <w:top w:val="nil"/>
              <w:left w:val="nil"/>
              <w:bottom w:val="nil"/>
              <w:right w:val="nil"/>
            </w:tcBorders>
            <w:shd w:val="clear" w:color="auto" w:fill="auto"/>
            <w:vAlign w:val="bottom"/>
            <w:hideMark/>
          </w:tcPr>
          <w:p w14:paraId="4A25247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85 </w:t>
            </w:r>
          </w:p>
        </w:tc>
      </w:tr>
      <w:tr w:rsidR="00C36708" w:rsidRPr="00C36708" w14:paraId="7213E5D1" w14:textId="77777777" w:rsidTr="00AD37ED">
        <w:trPr>
          <w:trHeight w:val="20"/>
        </w:trPr>
        <w:tc>
          <w:tcPr>
            <w:tcW w:w="1732" w:type="pct"/>
            <w:tcBorders>
              <w:top w:val="nil"/>
              <w:left w:val="nil"/>
              <w:bottom w:val="nil"/>
              <w:right w:val="nil"/>
            </w:tcBorders>
            <w:shd w:val="clear" w:color="auto" w:fill="auto"/>
            <w:vAlign w:val="bottom"/>
            <w:hideMark/>
          </w:tcPr>
          <w:p w14:paraId="28C61BBF"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Unincorporated</w:t>
            </w:r>
          </w:p>
        </w:tc>
        <w:tc>
          <w:tcPr>
            <w:tcW w:w="620" w:type="pct"/>
            <w:tcBorders>
              <w:top w:val="nil"/>
              <w:left w:val="nil"/>
              <w:bottom w:val="nil"/>
              <w:right w:val="nil"/>
            </w:tcBorders>
            <w:shd w:val="clear" w:color="auto" w:fill="auto"/>
            <w:vAlign w:val="bottom"/>
            <w:hideMark/>
          </w:tcPr>
          <w:p w14:paraId="53232DB3"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7 </w:t>
            </w:r>
          </w:p>
        </w:tc>
        <w:tc>
          <w:tcPr>
            <w:tcW w:w="629" w:type="pct"/>
            <w:tcBorders>
              <w:top w:val="nil"/>
              <w:left w:val="nil"/>
              <w:bottom w:val="nil"/>
              <w:right w:val="nil"/>
            </w:tcBorders>
            <w:shd w:val="clear" w:color="auto" w:fill="auto"/>
            <w:vAlign w:val="bottom"/>
            <w:hideMark/>
          </w:tcPr>
          <w:p w14:paraId="079D188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16 </w:t>
            </w:r>
          </w:p>
        </w:tc>
        <w:tc>
          <w:tcPr>
            <w:tcW w:w="705" w:type="pct"/>
            <w:tcBorders>
              <w:top w:val="nil"/>
              <w:left w:val="nil"/>
              <w:bottom w:val="nil"/>
              <w:right w:val="nil"/>
            </w:tcBorders>
            <w:shd w:val="clear" w:color="auto" w:fill="auto"/>
            <w:vAlign w:val="bottom"/>
            <w:hideMark/>
          </w:tcPr>
          <w:p w14:paraId="30C2A71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24 </w:t>
            </w:r>
          </w:p>
        </w:tc>
        <w:tc>
          <w:tcPr>
            <w:tcW w:w="629" w:type="pct"/>
            <w:tcBorders>
              <w:top w:val="nil"/>
              <w:left w:val="nil"/>
              <w:bottom w:val="nil"/>
              <w:right w:val="nil"/>
            </w:tcBorders>
            <w:shd w:val="clear" w:color="auto" w:fill="auto"/>
            <w:vAlign w:val="bottom"/>
            <w:hideMark/>
          </w:tcPr>
          <w:p w14:paraId="36920CF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6 </w:t>
            </w:r>
          </w:p>
        </w:tc>
        <w:tc>
          <w:tcPr>
            <w:tcW w:w="685" w:type="pct"/>
            <w:tcBorders>
              <w:top w:val="nil"/>
              <w:left w:val="nil"/>
              <w:bottom w:val="nil"/>
              <w:right w:val="nil"/>
            </w:tcBorders>
            <w:shd w:val="clear" w:color="auto" w:fill="auto"/>
            <w:vAlign w:val="bottom"/>
            <w:hideMark/>
          </w:tcPr>
          <w:p w14:paraId="1C07CB6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63 </w:t>
            </w:r>
          </w:p>
        </w:tc>
      </w:tr>
      <w:tr w:rsidR="00C36708" w:rsidRPr="00C36708" w14:paraId="7C057229" w14:textId="77777777" w:rsidTr="00AD37ED">
        <w:trPr>
          <w:trHeight w:val="20"/>
        </w:trPr>
        <w:tc>
          <w:tcPr>
            <w:tcW w:w="1732" w:type="pct"/>
            <w:tcBorders>
              <w:top w:val="nil"/>
              <w:left w:val="nil"/>
              <w:bottom w:val="nil"/>
              <w:right w:val="nil"/>
            </w:tcBorders>
            <w:shd w:val="clear" w:color="auto" w:fill="auto"/>
            <w:vAlign w:val="bottom"/>
            <w:hideMark/>
          </w:tcPr>
          <w:p w14:paraId="00647F3C"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Sales</w:t>
            </w:r>
          </w:p>
        </w:tc>
        <w:tc>
          <w:tcPr>
            <w:tcW w:w="620" w:type="pct"/>
            <w:tcBorders>
              <w:top w:val="nil"/>
              <w:left w:val="nil"/>
              <w:bottom w:val="nil"/>
              <w:right w:val="nil"/>
            </w:tcBorders>
            <w:shd w:val="clear" w:color="auto" w:fill="auto"/>
            <w:vAlign w:val="bottom"/>
            <w:hideMark/>
          </w:tcPr>
          <w:p w14:paraId="2A71E17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77 </w:t>
            </w:r>
          </w:p>
        </w:tc>
        <w:tc>
          <w:tcPr>
            <w:tcW w:w="629" w:type="pct"/>
            <w:tcBorders>
              <w:top w:val="nil"/>
              <w:left w:val="nil"/>
              <w:bottom w:val="nil"/>
              <w:right w:val="nil"/>
            </w:tcBorders>
            <w:shd w:val="clear" w:color="auto" w:fill="auto"/>
            <w:vAlign w:val="bottom"/>
            <w:hideMark/>
          </w:tcPr>
          <w:p w14:paraId="6DE33C5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(118)</w:t>
            </w:r>
          </w:p>
        </w:tc>
        <w:tc>
          <w:tcPr>
            <w:tcW w:w="705" w:type="pct"/>
            <w:tcBorders>
              <w:top w:val="nil"/>
              <w:left w:val="nil"/>
              <w:bottom w:val="nil"/>
              <w:right w:val="nil"/>
            </w:tcBorders>
            <w:shd w:val="clear" w:color="auto" w:fill="auto"/>
            <w:vAlign w:val="bottom"/>
            <w:hideMark/>
          </w:tcPr>
          <w:p w14:paraId="418EC0FA"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(175)</w:t>
            </w:r>
          </w:p>
        </w:tc>
        <w:tc>
          <w:tcPr>
            <w:tcW w:w="629" w:type="pct"/>
            <w:tcBorders>
              <w:top w:val="nil"/>
              <w:left w:val="nil"/>
              <w:bottom w:val="nil"/>
              <w:right w:val="nil"/>
            </w:tcBorders>
            <w:shd w:val="clear" w:color="auto" w:fill="auto"/>
            <w:vAlign w:val="bottom"/>
            <w:hideMark/>
          </w:tcPr>
          <w:p w14:paraId="1C8E1BE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(259)</w:t>
            </w:r>
          </w:p>
        </w:tc>
        <w:tc>
          <w:tcPr>
            <w:tcW w:w="685" w:type="pct"/>
            <w:tcBorders>
              <w:top w:val="nil"/>
              <w:left w:val="nil"/>
              <w:bottom w:val="nil"/>
              <w:right w:val="nil"/>
            </w:tcBorders>
            <w:shd w:val="clear" w:color="auto" w:fill="auto"/>
            <w:vAlign w:val="bottom"/>
            <w:hideMark/>
          </w:tcPr>
          <w:p w14:paraId="12D121AC"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(176)</w:t>
            </w:r>
          </w:p>
        </w:tc>
      </w:tr>
      <w:tr w:rsidR="00C36708" w:rsidRPr="00C36708" w14:paraId="6A9AFBB0" w14:textId="77777777" w:rsidTr="00AD37ED">
        <w:trPr>
          <w:trHeight w:val="20"/>
        </w:trPr>
        <w:tc>
          <w:tcPr>
            <w:tcW w:w="1732" w:type="pct"/>
            <w:tcBorders>
              <w:top w:val="nil"/>
              <w:left w:val="nil"/>
              <w:bottom w:val="nil"/>
              <w:right w:val="nil"/>
            </w:tcBorders>
            <w:shd w:val="clear" w:color="auto" w:fill="auto"/>
            <w:vAlign w:val="bottom"/>
            <w:hideMark/>
          </w:tcPr>
          <w:p w14:paraId="77F99550"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Commercial Rent</w:t>
            </w:r>
          </w:p>
        </w:tc>
        <w:tc>
          <w:tcPr>
            <w:tcW w:w="620" w:type="pct"/>
            <w:tcBorders>
              <w:top w:val="nil"/>
              <w:left w:val="nil"/>
              <w:bottom w:val="nil"/>
              <w:right w:val="nil"/>
            </w:tcBorders>
            <w:shd w:val="clear" w:color="auto" w:fill="auto"/>
            <w:vAlign w:val="bottom"/>
            <w:hideMark/>
          </w:tcPr>
          <w:p w14:paraId="3CE2192C"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(4)</w:t>
            </w:r>
          </w:p>
        </w:tc>
        <w:tc>
          <w:tcPr>
            <w:tcW w:w="629" w:type="pct"/>
            <w:tcBorders>
              <w:top w:val="nil"/>
              <w:left w:val="nil"/>
              <w:bottom w:val="nil"/>
              <w:right w:val="nil"/>
            </w:tcBorders>
            <w:shd w:val="clear" w:color="auto" w:fill="auto"/>
            <w:vAlign w:val="bottom"/>
            <w:hideMark/>
          </w:tcPr>
          <w:p w14:paraId="48EC713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10 </w:t>
            </w:r>
          </w:p>
        </w:tc>
        <w:tc>
          <w:tcPr>
            <w:tcW w:w="705" w:type="pct"/>
            <w:tcBorders>
              <w:top w:val="nil"/>
              <w:left w:val="nil"/>
              <w:bottom w:val="nil"/>
              <w:right w:val="nil"/>
            </w:tcBorders>
            <w:shd w:val="clear" w:color="auto" w:fill="auto"/>
            <w:vAlign w:val="bottom"/>
            <w:hideMark/>
          </w:tcPr>
          <w:p w14:paraId="31C14392"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29 </w:t>
            </w:r>
          </w:p>
        </w:tc>
        <w:tc>
          <w:tcPr>
            <w:tcW w:w="629" w:type="pct"/>
            <w:tcBorders>
              <w:top w:val="nil"/>
              <w:left w:val="nil"/>
              <w:bottom w:val="nil"/>
              <w:right w:val="nil"/>
            </w:tcBorders>
            <w:shd w:val="clear" w:color="auto" w:fill="auto"/>
            <w:vAlign w:val="bottom"/>
            <w:hideMark/>
          </w:tcPr>
          <w:p w14:paraId="5E4A0F07"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42 </w:t>
            </w:r>
          </w:p>
        </w:tc>
        <w:tc>
          <w:tcPr>
            <w:tcW w:w="685" w:type="pct"/>
            <w:tcBorders>
              <w:top w:val="nil"/>
              <w:left w:val="nil"/>
              <w:bottom w:val="nil"/>
              <w:right w:val="nil"/>
            </w:tcBorders>
            <w:shd w:val="clear" w:color="auto" w:fill="auto"/>
            <w:vAlign w:val="bottom"/>
            <w:hideMark/>
          </w:tcPr>
          <w:p w14:paraId="5A2F7B53"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45 </w:t>
            </w:r>
          </w:p>
        </w:tc>
      </w:tr>
      <w:tr w:rsidR="00C36708" w:rsidRPr="00C36708" w14:paraId="26B14D7A" w14:textId="77777777" w:rsidTr="00AD37ED">
        <w:trPr>
          <w:trHeight w:val="20"/>
        </w:trPr>
        <w:tc>
          <w:tcPr>
            <w:tcW w:w="1732" w:type="pct"/>
            <w:tcBorders>
              <w:top w:val="nil"/>
              <w:left w:val="nil"/>
              <w:bottom w:val="nil"/>
              <w:right w:val="nil"/>
            </w:tcBorders>
            <w:shd w:val="clear" w:color="auto" w:fill="auto"/>
            <w:vAlign w:val="bottom"/>
            <w:hideMark/>
          </w:tcPr>
          <w:p w14:paraId="56B6754A"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Real Property Transfer</w:t>
            </w:r>
          </w:p>
        </w:tc>
        <w:tc>
          <w:tcPr>
            <w:tcW w:w="620" w:type="pct"/>
            <w:tcBorders>
              <w:top w:val="nil"/>
              <w:left w:val="nil"/>
              <w:bottom w:val="nil"/>
              <w:right w:val="nil"/>
            </w:tcBorders>
            <w:shd w:val="clear" w:color="auto" w:fill="auto"/>
            <w:vAlign w:val="bottom"/>
            <w:hideMark/>
          </w:tcPr>
          <w:p w14:paraId="30BE765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(29)</w:t>
            </w:r>
          </w:p>
        </w:tc>
        <w:tc>
          <w:tcPr>
            <w:tcW w:w="629" w:type="pct"/>
            <w:tcBorders>
              <w:top w:val="nil"/>
              <w:left w:val="nil"/>
              <w:bottom w:val="nil"/>
              <w:right w:val="nil"/>
            </w:tcBorders>
            <w:shd w:val="clear" w:color="auto" w:fill="auto"/>
            <w:vAlign w:val="bottom"/>
            <w:hideMark/>
          </w:tcPr>
          <w:p w14:paraId="15CFCFD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(107)</w:t>
            </w:r>
          </w:p>
        </w:tc>
        <w:tc>
          <w:tcPr>
            <w:tcW w:w="705" w:type="pct"/>
            <w:tcBorders>
              <w:top w:val="nil"/>
              <w:left w:val="nil"/>
              <w:bottom w:val="nil"/>
              <w:right w:val="nil"/>
            </w:tcBorders>
            <w:shd w:val="clear" w:color="auto" w:fill="auto"/>
            <w:vAlign w:val="bottom"/>
            <w:hideMark/>
          </w:tcPr>
          <w:p w14:paraId="6066115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(103)</w:t>
            </w:r>
          </w:p>
        </w:tc>
        <w:tc>
          <w:tcPr>
            <w:tcW w:w="629" w:type="pct"/>
            <w:tcBorders>
              <w:top w:val="nil"/>
              <w:left w:val="nil"/>
              <w:bottom w:val="nil"/>
              <w:right w:val="nil"/>
            </w:tcBorders>
            <w:shd w:val="clear" w:color="auto" w:fill="auto"/>
            <w:vAlign w:val="bottom"/>
            <w:hideMark/>
          </w:tcPr>
          <w:p w14:paraId="46B468C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(97)</w:t>
            </w:r>
          </w:p>
        </w:tc>
        <w:tc>
          <w:tcPr>
            <w:tcW w:w="685" w:type="pct"/>
            <w:tcBorders>
              <w:top w:val="nil"/>
              <w:left w:val="nil"/>
              <w:bottom w:val="nil"/>
              <w:right w:val="nil"/>
            </w:tcBorders>
            <w:shd w:val="clear" w:color="auto" w:fill="auto"/>
            <w:vAlign w:val="bottom"/>
            <w:hideMark/>
          </w:tcPr>
          <w:p w14:paraId="1224BE9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(116)</w:t>
            </w:r>
          </w:p>
        </w:tc>
      </w:tr>
      <w:tr w:rsidR="00C36708" w:rsidRPr="00C36708" w14:paraId="3CBC6F96" w14:textId="77777777" w:rsidTr="00AD37ED">
        <w:trPr>
          <w:trHeight w:val="20"/>
        </w:trPr>
        <w:tc>
          <w:tcPr>
            <w:tcW w:w="1732" w:type="pct"/>
            <w:tcBorders>
              <w:top w:val="nil"/>
              <w:left w:val="nil"/>
              <w:bottom w:val="nil"/>
              <w:right w:val="nil"/>
            </w:tcBorders>
            <w:shd w:val="clear" w:color="auto" w:fill="auto"/>
            <w:vAlign w:val="bottom"/>
            <w:hideMark/>
          </w:tcPr>
          <w:p w14:paraId="7AF5FCE3"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Mortgage Recording</w:t>
            </w:r>
          </w:p>
        </w:tc>
        <w:tc>
          <w:tcPr>
            <w:tcW w:w="620" w:type="pct"/>
            <w:tcBorders>
              <w:top w:val="nil"/>
              <w:left w:val="nil"/>
              <w:bottom w:val="nil"/>
              <w:right w:val="nil"/>
            </w:tcBorders>
            <w:shd w:val="clear" w:color="auto" w:fill="auto"/>
            <w:vAlign w:val="bottom"/>
            <w:hideMark/>
          </w:tcPr>
          <w:p w14:paraId="49F379D0"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84 </w:t>
            </w:r>
          </w:p>
        </w:tc>
        <w:tc>
          <w:tcPr>
            <w:tcW w:w="629" w:type="pct"/>
            <w:tcBorders>
              <w:top w:val="nil"/>
              <w:left w:val="nil"/>
              <w:bottom w:val="nil"/>
              <w:right w:val="nil"/>
            </w:tcBorders>
            <w:shd w:val="clear" w:color="auto" w:fill="auto"/>
            <w:vAlign w:val="bottom"/>
            <w:hideMark/>
          </w:tcPr>
          <w:p w14:paraId="1C95096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58 </w:t>
            </w:r>
          </w:p>
        </w:tc>
        <w:tc>
          <w:tcPr>
            <w:tcW w:w="705" w:type="pct"/>
            <w:tcBorders>
              <w:top w:val="nil"/>
              <w:left w:val="nil"/>
              <w:bottom w:val="nil"/>
              <w:right w:val="nil"/>
            </w:tcBorders>
            <w:shd w:val="clear" w:color="auto" w:fill="auto"/>
            <w:vAlign w:val="bottom"/>
            <w:hideMark/>
          </w:tcPr>
          <w:p w14:paraId="1C95F93A"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64 </w:t>
            </w:r>
          </w:p>
        </w:tc>
        <w:tc>
          <w:tcPr>
            <w:tcW w:w="629" w:type="pct"/>
            <w:tcBorders>
              <w:top w:val="nil"/>
              <w:left w:val="nil"/>
              <w:bottom w:val="nil"/>
              <w:right w:val="nil"/>
            </w:tcBorders>
            <w:shd w:val="clear" w:color="auto" w:fill="auto"/>
            <w:vAlign w:val="bottom"/>
            <w:hideMark/>
          </w:tcPr>
          <w:p w14:paraId="4086ECE1"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37 </w:t>
            </w:r>
          </w:p>
        </w:tc>
        <w:tc>
          <w:tcPr>
            <w:tcW w:w="685" w:type="pct"/>
            <w:tcBorders>
              <w:top w:val="nil"/>
              <w:left w:val="nil"/>
              <w:bottom w:val="nil"/>
              <w:right w:val="nil"/>
            </w:tcBorders>
            <w:shd w:val="clear" w:color="auto" w:fill="auto"/>
            <w:vAlign w:val="bottom"/>
            <w:hideMark/>
          </w:tcPr>
          <w:p w14:paraId="133A402B"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18 </w:t>
            </w:r>
          </w:p>
        </w:tc>
      </w:tr>
      <w:tr w:rsidR="00C36708" w:rsidRPr="00C36708" w14:paraId="161C38FE" w14:textId="77777777" w:rsidTr="00AD37ED">
        <w:trPr>
          <w:trHeight w:val="20"/>
        </w:trPr>
        <w:tc>
          <w:tcPr>
            <w:tcW w:w="1732" w:type="pct"/>
            <w:tcBorders>
              <w:top w:val="nil"/>
              <w:left w:val="nil"/>
              <w:bottom w:val="nil"/>
              <w:right w:val="nil"/>
            </w:tcBorders>
            <w:shd w:val="clear" w:color="auto" w:fill="auto"/>
            <w:vAlign w:val="bottom"/>
            <w:hideMark/>
          </w:tcPr>
          <w:p w14:paraId="2411AFA6"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Utility</w:t>
            </w:r>
          </w:p>
        </w:tc>
        <w:tc>
          <w:tcPr>
            <w:tcW w:w="620" w:type="pct"/>
            <w:tcBorders>
              <w:top w:val="nil"/>
              <w:left w:val="nil"/>
              <w:bottom w:val="nil"/>
              <w:right w:val="nil"/>
            </w:tcBorders>
            <w:shd w:val="clear" w:color="auto" w:fill="auto"/>
            <w:vAlign w:val="bottom"/>
            <w:hideMark/>
          </w:tcPr>
          <w:p w14:paraId="558C4B32"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(23)</w:t>
            </w:r>
          </w:p>
        </w:tc>
        <w:tc>
          <w:tcPr>
            <w:tcW w:w="629" w:type="pct"/>
            <w:tcBorders>
              <w:top w:val="nil"/>
              <w:left w:val="nil"/>
              <w:bottom w:val="nil"/>
              <w:right w:val="nil"/>
            </w:tcBorders>
            <w:shd w:val="clear" w:color="auto" w:fill="auto"/>
            <w:vAlign w:val="bottom"/>
            <w:hideMark/>
          </w:tcPr>
          <w:p w14:paraId="022D997B"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(30)</w:t>
            </w:r>
          </w:p>
        </w:tc>
        <w:tc>
          <w:tcPr>
            <w:tcW w:w="705" w:type="pct"/>
            <w:tcBorders>
              <w:top w:val="nil"/>
              <w:left w:val="nil"/>
              <w:bottom w:val="nil"/>
              <w:right w:val="nil"/>
            </w:tcBorders>
            <w:shd w:val="clear" w:color="auto" w:fill="auto"/>
            <w:vAlign w:val="bottom"/>
            <w:hideMark/>
          </w:tcPr>
          <w:p w14:paraId="2A65AEC5"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(30)</w:t>
            </w:r>
          </w:p>
        </w:tc>
        <w:tc>
          <w:tcPr>
            <w:tcW w:w="629" w:type="pct"/>
            <w:tcBorders>
              <w:top w:val="nil"/>
              <w:left w:val="nil"/>
              <w:bottom w:val="nil"/>
              <w:right w:val="nil"/>
            </w:tcBorders>
            <w:shd w:val="clear" w:color="auto" w:fill="auto"/>
            <w:vAlign w:val="bottom"/>
            <w:hideMark/>
          </w:tcPr>
          <w:p w14:paraId="19EE800E"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(35)</w:t>
            </w:r>
          </w:p>
        </w:tc>
        <w:tc>
          <w:tcPr>
            <w:tcW w:w="685" w:type="pct"/>
            <w:tcBorders>
              <w:top w:val="nil"/>
              <w:left w:val="nil"/>
              <w:bottom w:val="nil"/>
              <w:right w:val="nil"/>
            </w:tcBorders>
            <w:shd w:val="clear" w:color="auto" w:fill="auto"/>
            <w:vAlign w:val="bottom"/>
            <w:hideMark/>
          </w:tcPr>
          <w:p w14:paraId="6DB36450"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(36)</w:t>
            </w:r>
          </w:p>
        </w:tc>
      </w:tr>
      <w:tr w:rsidR="00C36708" w:rsidRPr="00C36708" w14:paraId="6BE10941" w14:textId="77777777" w:rsidTr="00AD37ED">
        <w:trPr>
          <w:trHeight w:val="20"/>
        </w:trPr>
        <w:tc>
          <w:tcPr>
            <w:tcW w:w="1732" w:type="pct"/>
            <w:tcBorders>
              <w:top w:val="nil"/>
              <w:left w:val="nil"/>
              <w:bottom w:val="nil"/>
              <w:right w:val="nil"/>
            </w:tcBorders>
            <w:shd w:val="clear" w:color="auto" w:fill="auto"/>
            <w:vAlign w:val="bottom"/>
            <w:hideMark/>
          </w:tcPr>
          <w:p w14:paraId="53C3195A"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Hotels</w:t>
            </w:r>
          </w:p>
        </w:tc>
        <w:tc>
          <w:tcPr>
            <w:tcW w:w="620" w:type="pct"/>
            <w:tcBorders>
              <w:top w:val="nil"/>
              <w:left w:val="nil"/>
              <w:bottom w:val="nil"/>
              <w:right w:val="nil"/>
            </w:tcBorders>
            <w:shd w:val="clear" w:color="auto" w:fill="auto"/>
            <w:vAlign w:val="bottom"/>
            <w:hideMark/>
          </w:tcPr>
          <w:p w14:paraId="7EB06A8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(0)</w:t>
            </w:r>
          </w:p>
        </w:tc>
        <w:tc>
          <w:tcPr>
            <w:tcW w:w="629" w:type="pct"/>
            <w:tcBorders>
              <w:top w:val="nil"/>
              <w:left w:val="nil"/>
              <w:bottom w:val="nil"/>
              <w:right w:val="nil"/>
            </w:tcBorders>
            <w:shd w:val="clear" w:color="auto" w:fill="auto"/>
            <w:vAlign w:val="bottom"/>
            <w:hideMark/>
          </w:tcPr>
          <w:p w14:paraId="50F4DA1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23 </w:t>
            </w:r>
          </w:p>
        </w:tc>
        <w:tc>
          <w:tcPr>
            <w:tcW w:w="705" w:type="pct"/>
            <w:tcBorders>
              <w:top w:val="nil"/>
              <w:left w:val="nil"/>
              <w:bottom w:val="nil"/>
              <w:right w:val="nil"/>
            </w:tcBorders>
            <w:shd w:val="clear" w:color="auto" w:fill="auto"/>
            <w:vAlign w:val="bottom"/>
            <w:hideMark/>
          </w:tcPr>
          <w:p w14:paraId="5C60BFEF"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44 </w:t>
            </w:r>
          </w:p>
        </w:tc>
        <w:tc>
          <w:tcPr>
            <w:tcW w:w="629" w:type="pct"/>
            <w:tcBorders>
              <w:top w:val="nil"/>
              <w:left w:val="nil"/>
              <w:bottom w:val="nil"/>
              <w:right w:val="nil"/>
            </w:tcBorders>
            <w:shd w:val="clear" w:color="auto" w:fill="auto"/>
            <w:vAlign w:val="bottom"/>
            <w:hideMark/>
          </w:tcPr>
          <w:p w14:paraId="06B02A8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56 </w:t>
            </w:r>
          </w:p>
        </w:tc>
        <w:tc>
          <w:tcPr>
            <w:tcW w:w="685" w:type="pct"/>
            <w:tcBorders>
              <w:top w:val="nil"/>
              <w:left w:val="nil"/>
              <w:bottom w:val="nil"/>
              <w:right w:val="nil"/>
            </w:tcBorders>
            <w:shd w:val="clear" w:color="auto" w:fill="auto"/>
            <w:vAlign w:val="bottom"/>
            <w:hideMark/>
          </w:tcPr>
          <w:p w14:paraId="2F5BB2A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64 </w:t>
            </w:r>
          </w:p>
        </w:tc>
      </w:tr>
      <w:tr w:rsidR="00C36708" w:rsidRPr="00C36708" w14:paraId="5FFA765D" w14:textId="77777777" w:rsidTr="00AD37ED">
        <w:trPr>
          <w:trHeight w:val="20"/>
        </w:trPr>
        <w:tc>
          <w:tcPr>
            <w:tcW w:w="1732" w:type="pct"/>
            <w:tcBorders>
              <w:top w:val="nil"/>
              <w:left w:val="nil"/>
              <w:bottom w:val="nil"/>
              <w:right w:val="nil"/>
            </w:tcBorders>
            <w:shd w:val="clear" w:color="auto" w:fill="auto"/>
            <w:vAlign w:val="bottom"/>
            <w:hideMark/>
          </w:tcPr>
          <w:p w14:paraId="332CEDFD"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All Others</w:t>
            </w:r>
          </w:p>
        </w:tc>
        <w:tc>
          <w:tcPr>
            <w:tcW w:w="620" w:type="pct"/>
            <w:tcBorders>
              <w:top w:val="nil"/>
              <w:left w:val="nil"/>
              <w:bottom w:val="nil"/>
              <w:right w:val="nil"/>
            </w:tcBorders>
            <w:shd w:val="clear" w:color="auto" w:fill="auto"/>
            <w:vAlign w:val="bottom"/>
            <w:hideMark/>
          </w:tcPr>
          <w:p w14:paraId="5DB2C1A0"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c>
          <w:tcPr>
            <w:tcW w:w="629" w:type="pct"/>
            <w:tcBorders>
              <w:top w:val="nil"/>
              <w:left w:val="nil"/>
              <w:bottom w:val="nil"/>
              <w:right w:val="nil"/>
            </w:tcBorders>
            <w:shd w:val="clear" w:color="auto" w:fill="auto"/>
            <w:vAlign w:val="bottom"/>
            <w:hideMark/>
          </w:tcPr>
          <w:p w14:paraId="2DBAF23D"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c>
          <w:tcPr>
            <w:tcW w:w="705" w:type="pct"/>
            <w:tcBorders>
              <w:top w:val="nil"/>
              <w:left w:val="nil"/>
              <w:bottom w:val="nil"/>
              <w:right w:val="nil"/>
            </w:tcBorders>
            <w:shd w:val="clear" w:color="auto" w:fill="auto"/>
            <w:vAlign w:val="bottom"/>
            <w:hideMark/>
          </w:tcPr>
          <w:p w14:paraId="77EBE333"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c>
          <w:tcPr>
            <w:tcW w:w="629" w:type="pct"/>
            <w:tcBorders>
              <w:top w:val="nil"/>
              <w:left w:val="nil"/>
              <w:bottom w:val="nil"/>
              <w:right w:val="nil"/>
            </w:tcBorders>
            <w:shd w:val="clear" w:color="auto" w:fill="auto"/>
            <w:vAlign w:val="bottom"/>
            <w:hideMark/>
          </w:tcPr>
          <w:p w14:paraId="2F7821F3"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c>
          <w:tcPr>
            <w:tcW w:w="685" w:type="pct"/>
            <w:tcBorders>
              <w:top w:val="nil"/>
              <w:left w:val="nil"/>
              <w:bottom w:val="nil"/>
              <w:right w:val="nil"/>
            </w:tcBorders>
            <w:shd w:val="clear" w:color="auto" w:fill="auto"/>
            <w:vAlign w:val="bottom"/>
            <w:hideMark/>
          </w:tcPr>
          <w:p w14:paraId="2EBB3C0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r>
      <w:tr w:rsidR="00C36708" w:rsidRPr="00C36708" w14:paraId="1D80FE0B" w14:textId="77777777" w:rsidTr="00AD37ED">
        <w:trPr>
          <w:trHeight w:val="20"/>
        </w:trPr>
        <w:tc>
          <w:tcPr>
            <w:tcW w:w="1732" w:type="pct"/>
            <w:tcBorders>
              <w:top w:val="nil"/>
              <w:left w:val="nil"/>
              <w:bottom w:val="nil"/>
              <w:right w:val="nil"/>
            </w:tcBorders>
            <w:shd w:val="clear" w:color="auto" w:fill="auto"/>
            <w:vAlign w:val="bottom"/>
            <w:hideMark/>
          </w:tcPr>
          <w:p w14:paraId="269BB2DE" w14:textId="77777777" w:rsidR="00C36708" w:rsidRPr="00C36708" w:rsidRDefault="00C36708" w:rsidP="00C36708">
            <w:pPr>
              <w:spacing w:after="0"/>
              <w:jc w:val="lef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Audits</w:t>
            </w:r>
          </w:p>
        </w:tc>
        <w:tc>
          <w:tcPr>
            <w:tcW w:w="620" w:type="pct"/>
            <w:tcBorders>
              <w:top w:val="nil"/>
              <w:left w:val="nil"/>
              <w:bottom w:val="nil"/>
              <w:right w:val="nil"/>
            </w:tcBorders>
            <w:shd w:val="clear" w:color="auto" w:fill="auto"/>
            <w:vAlign w:val="bottom"/>
            <w:hideMark/>
          </w:tcPr>
          <w:p w14:paraId="3E29A366"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c>
          <w:tcPr>
            <w:tcW w:w="629" w:type="pct"/>
            <w:tcBorders>
              <w:top w:val="nil"/>
              <w:left w:val="nil"/>
              <w:bottom w:val="nil"/>
              <w:right w:val="nil"/>
            </w:tcBorders>
            <w:shd w:val="clear" w:color="auto" w:fill="auto"/>
            <w:vAlign w:val="bottom"/>
            <w:hideMark/>
          </w:tcPr>
          <w:p w14:paraId="5E6E5519"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0 </w:t>
            </w:r>
          </w:p>
        </w:tc>
        <w:tc>
          <w:tcPr>
            <w:tcW w:w="705" w:type="pct"/>
            <w:tcBorders>
              <w:top w:val="nil"/>
              <w:left w:val="nil"/>
              <w:bottom w:val="nil"/>
              <w:right w:val="nil"/>
            </w:tcBorders>
            <w:shd w:val="clear" w:color="auto" w:fill="auto"/>
            <w:vAlign w:val="bottom"/>
            <w:hideMark/>
          </w:tcPr>
          <w:p w14:paraId="49C38024"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100 </w:t>
            </w:r>
          </w:p>
        </w:tc>
        <w:tc>
          <w:tcPr>
            <w:tcW w:w="629" w:type="pct"/>
            <w:tcBorders>
              <w:top w:val="nil"/>
              <w:left w:val="nil"/>
              <w:bottom w:val="nil"/>
              <w:right w:val="nil"/>
            </w:tcBorders>
            <w:shd w:val="clear" w:color="auto" w:fill="auto"/>
            <w:vAlign w:val="bottom"/>
            <w:hideMark/>
          </w:tcPr>
          <w:p w14:paraId="6C17B9AB"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100 </w:t>
            </w:r>
          </w:p>
        </w:tc>
        <w:tc>
          <w:tcPr>
            <w:tcW w:w="685" w:type="pct"/>
            <w:tcBorders>
              <w:top w:val="nil"/>
              <w:left w:val="nil"/>
              <w:bottom w:val="nil"/>
              <w:right w:val="nil"/>
            </w:tcBorders>
            <w:shd w:val="clear" w:color="auto" w:fill="auto"/>
            <w:vAlign w:val="bottom"/>
            <w:hideMark/>
          </w:tcPr>
          <w:p w14:paraId="653AD818" w14:textId="77777777" w:rsidR="00C36708" w:rsidRPr="00C36708" w:rsidRDefault="00C36708" w:rsidP="005E56EA">
            <w:pPr>
              <w:spacing w:after="0"/>
              <w:jc w:val="right"/>
              <w:rPr>
                <w:rFonts w:ascii="Calibri" w:eastAsia="Times New Roman" w:hAnsi="Calibri" w:cs="Times New Roman"/>
                <w:color w:val="000000"/>
                <w:sz w:val="20"/>
                <w:szCs w:val="20"/>
              </w:rPr>
            </w:pPr>
            <w:r w:rsidRPr="00C36708">
              <w:rPr>
                <w:rFonts w:ascii="Calibri" w:eastAsia="Times New Roman" w:hAnsi="Calibri" w:cs="Times New Roman"/>
                <w:color w:val="000000"/>
                <w:sz w:val="20"/>
                <w:szCs w:val="20"/>
              </w:rPr>
              <w:t xml:space="preserve">100 </w:t>
            </w:r>
          </w:p>
        </w:tc>
      </w:tr>
      <w:tr w:rsidR="00C36708" w:rsidRPr="00C36708" w14:paraId="05B0CC04" w14:textId="77777777" w:rsidTr="00AD37ED">
        <w:trPr>
          <w:trHeight w:val="20"/>
        </w:trPr>
        <w:tc>
          <w:tcPr>
            <w:tcW w:w="1732" w:type="pct"/>
            <w:tcBorders>
              <w:top w:val="nil"/>
              <w:left w:val="nil"/>
              <w:bottom w:val="single" w:sz="8" w:space="0" w:color="auto"/>
              <w:right w:val="nil"/>
            </w:tcBorders>
            <w:shd w:val="clear" w:color="auto" w:fill="auto"/>
            <w:vAlign w:val="bottom"/>
            <w:hideMark/>
          </w:tcPr>
          <w:p w14:paraId="789E9FFE" w14:textId="77777777" w:rsidR="00C36708" w:rsidRPr="00C36708" w:rsidRDefault="00C36708" w:rsidP="00C36708">
            <w:pPr>
              <w:spacing w:after="0"/>
              <w:jc w:val="lef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Total Taxes</w:t>
            </w:r>
          </w:p>
        </w:tc>
        <w:tc>
          <w:tcPr>
            <w:tcW w:w="620" w:type="pct"/>
            <w:tcBorders>
              <w:top w:val="single" w:sz="4" w:space="0" w:color="auto"/>
              <w:left w:val="nil"/>
              <w:bottom w:val="single" w:sz="8" w:space="0" w:color="auto"/>
              <w:right w:val="nil"/>
            </w:tcBorders>
            <w:shd w:val="clear" w:color="auto" w:fill="auto"/>
            <w:vAlign w:val="bottom"/>
            <w:hideMark/>
          </w:tcPr>
          <w:p w14:paraId="786CD5B8" w14:textId="77777777" w:rsidR="00C36708" w:rsidRPr="00C36708" w:rsidRDefault="00C36708" w:rsidP="006A566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 xml:space="preserve">$351 </w:t>
            </w:r>
          </w:p>
        </w:tc>
        <w:tc>
          <w:tcPr>
            <w:tcW w:w="629" w:type="pct"/>
            <w:tcBorders>
              <w:top w:val="single" w:sz="4" w:space="0" w:color="auto"/>
              <w:left w:val="nil"/>
              <w:bottom w:val="single" w:sz="8" w:space="0" w:color="auto"/>
              <w:right w:val="nil"/>
            </w:tcBorders>
            <w:shd w:val="clear" w:color="auto" w:fill="auto"/>
            <w:vAlign w:val="bottom"/>
            <w:hideMark/>
          </w:tcPr>
          <w:p w14:paraId="024FFD31" w14:textId="77777777" w:rsidR="00C36708" w:rsidRPr="00C36708" w:rsidRDefault="00C36708" w:rsidP="006A566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 xml:space="preserve">$287 </w:t>
            </w:r>
          </w:p>
        </w:tc>
        <w:tc>
          <w:tcPr>
            <w:tcW w:w="705" w:type="pct"/>
            <w:tcBorders>
              <w:top w:val="single" w:sz="4" w:space="0" w:color="auto"/>
              <w:left w:val="nil"/>
              <w:bottom w:val="single" w:sz="8" w:space="0" w:color="auto"/>
              <w:right w:val="nil"/>
            </w:tcBorders>
            <w:shd w:val="clear" w:color="auto" w:fill="auto"/>
            <w:vAlign w:val="bottom"/>
            <w:hideMark/>
          </w:tcPr>
          <w:p w14:paraId="51B0F254" w14:textId="77777777" w:rsidR="00C36708" w:rsidRPr="00C36708" w:rsidRDefault="00C36708" w:rsidP="006A566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 xml:space="preserve">$544 </w:t>
            </w:r>
          </w:p>
        </w:tc>
        <w:tc>
          <w:tcPr>
            <w:tcW w:w="629" w:type="pct"/>
            <w:tcBorders>
              <w:top w:val="single" w:sz="4" w:space="0" w:color="auto"/>
              <w:left w:val="nil"/>
              <w:bottom w:val="single" w:sz="8" w:space="0" w:color="auto"/>
              <w:right w:val="nil"/>
            </w:tcBorders>
            <w:shd w:val="clear" w:color="auto" w:fill="auto"/>
            <w:vAlign w:val="bottom"/>
            <w:hideMark/>
          </w:tcPr>
          <w:p w14:paraId="0C4D5CD5" w14:textId="77777777" w:rsidR="00C36708" w:rsidRPr="00C36708" w:rsidRDefault="00C36708" w:rsidP="006A566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 xml:space="preserve">$589 </w:t>
            </w:r>
          </w:p>
        </w:tc>
        <w:tc>
          <w:tcPr>
            <w:tcW w:w="685" w:type="pct"/>
            <w:tcBorders>
              <w:top w:val="single" w:sz="4" w:space="0" w:color="auto"/>
              <w:left w:val="nil"/>
              <w:bottom w:val="single" w:sz="8" w:space="0" w:color="auto"/>
              <w:right w:val="nil"/>
            </w:tcBorders>
            <w:shd w:val="clear" w:color="auto" w:fill="auto"/>
            <w:vAlign w:val="bottom"/>
            <w:hideMark/>
          </w:tcPr>
          <w:p w14:paraId="0EEF1978" w14:textId="77777777" w:rsidR="00C36708" w:rsidRPr="00C36708" w:rsidRDefault="00C36708" w:rsidP="006A566D">
            <w:pPr>
              <w:spacing w:after="0"/>
              <w:jc w:val="right"/>
              <w:rPr>
                <w:rFonts w:ascii="Calibri" w:eastAsia="Times New Roman" w:hAnsi="Calibri" w:cs="Times New Roman"/>
                <w:b/>
                <w:bCs/>
                <w:color w:val="000000"/>
                <w:sz w:val="20"/>
                <w:szCs w:val="20"/>
              </w:rPr>
            </w:pPr>
            <w:r w:rsidRPr="00C36708">
              <w:rPr>
                <w:rFonts w:ascii="Calibri" w:eastAsia="Times New Roman" w:hAnsi="Calibri" w:cs="Times New Roman"/>
                <w:b/>
                <w:bCs/>
                <w:color w:val="000000"/>
                <w:sz w:val="20"/>
                <w:szCs w:val="20"/>
              </w:rPr>
              <w:t xml:space="preserve">$1,964 </w:t>
            </w:r>
          </w:p>
        </w:tc>
      </w:tr>
      <w:tr w:rsidR="00C36708" w:rsidRPr="00C36708" w14:paraId="1AF5A16B" w14:textId="77777777" w:rsidTr="00AD37ED">
        <w:trPr>
          <w:trHeight w:val="20"/>
        </w:trPr>
        <w:tc>
          <w:tcPr>
            <w:tcW w:w="5000" w:type="pct"/>
            <w:gridSpan w:val="6"/>
            <w:tcBorders>
              <w:top w:val="single" w:sz="8" w:space="0" w:color="auto"/>
              <w:left w:val="nil"/>
              <w:bottom w:val="nil"/>
              <w:right w:val="nil"/>
            </w:tcBorders>
            <w:shd w:val="clear" w:color="auto" w:fill="auto"/>
            <w:vAlign w:val="bottom"/>
            <w:hideMark/>
          </w:tcPr>
          <w:p w14:paraId="6A8F6A80" w14:textId="77777777" w:rsidR="00C36708" w:rsidRPr="00C36708" w:rsidRDefault="00C36708" w:rsidP="00C36708">
            <w:pPr>
              <w:spacing w:after="0"/>
              <w:jc w:val="left"/>
              <w:rPr>
                <w:rFonts w:ascii="Calibri" w:eastAsia="Times New Roman" w:hAnsi="Calibri" w:cs="Times New Roman"/>
                <w:i/>
                <w:iCs/>
                <w:color w:val="000000"/>
                <w:sz w:val="20"/>
                <w:szCs w:val="20"/>
              </w:rPr>
            </w:pPr>
            <w:r w:rsidRPr="00C36708">
              <w:rPr>
                <w:rFonts w:ascii="Calibri" w:eastAsia="Times New Roman" w:hAnsi="Calibri" w:cs="Times New Roman"/>
                <w:b/>
                <w:bCs/>
                <w:i/>
                <w:iCs/>
                <w:color w:val="000000"/>
                <w:sz w:val="20"/>
                <w:szCs w:val="20"/>
              </w:rPr>
              <w:t>Source:</w:t>
            </w:r>
            <w:r w:rsidRPr="00C36708">
              <w:rPr>
                <w:rFonts w:ascii="Calibri" w:eastAsia="Times New Roman" w:hAnsi="Calibri" w:cs="Times New Roman"/>
                <w:i/>
                <w:iCs/>
                <w:color w:val="000000"/>
                <w:sz w:val="20"/>
                <w:szCs w:val="20"/>
              </w:rPr>
              <w:t xml:space="preserve"> New York City Council Finance Division, NYC Office of Management and Budget, </w:t>
            </w:r>
            <w:r w:rsidRPr="00C36708">
              <w:rPr>
                <w:rFonts w:ascii="Calibri" w:eastAsia="Times New Roman" w:hAnsi="Calibri" w:cs="Times New Roman"/>
                <w:i/>
                <w:iCs/>
                <w:color w:val="000000"/>
                <w:sz w:val="20"/>
                <w:szCs w:val="20"/>
              </w:rPr>
              <w:br/>
              <w:t>Preliminary Budget Fiscal 2019</w:t>
            </w:r>
          </w:p>
        </w:tc>
      </w:tr>
    </w:tbl>
    <w:p w14:paraId="5475A142" w14:textId="33019E33" w:rsidR="001B181A" w:rsidRPr="001741AB" w:rsidRDefault="001B181A" w:rsidP="00F2473E">
      <w:pPr>
        <w:pStyle w:val="Heading1"/>
      </w:pPr>
      <w:bookmarkStart w:id="13" w:name="_Toc507592273"/>
      <w:r w:rsidRPr="001741AB">
        <w:rPr>
          <w:rStyle w:val="Heading1Char"/>
          <w:b/>
        </w:rPr>
        <w:t>Tax Cuts and Jobs Act</w:t>
      </w:r>
      <w:r w:rsidRPr="001741AB">
        <w:rPr>
          <w:rStyle w:val="FootnoteReference"/>
        </w:rPr>
        <w:footnoteReference w:id="17"/>
      </w:r>
      <w:bookmarkEnd w:id="13"/>
    </w:p>
    <w:p w14:paraId="1D332D61" w14:textId="3E8EAA82" w:rsidR="001B181A" w:rsidRDefault="001B181A" w:rsidP="005E56EA">
      <w:pPr>
        <w:spacing w:after="120"/>
      </w:pPr>
      <w:r>
        <w:t xml:space="preserve">In December 2017, </w:t>
      </w:r>
      <w:r w:rsidR="0021479D">
        <w:t xml:space="preserve">the </w:t>
      </w:r>
      <w:r>
        <w:t>President signed into law the Tax Cuts and Jobs Act (TCJA), which enacted sweeping changes to the federal tax code.</w:t>
      </w:r>
      <w:r w:rsidR="005758B0">
        <w:rPr>
          <w:rStyle w:val="FootnoteReference"/>
        </w:rPr>
        <w:footnoteReference w:id="18"/>
      </w:r>
      <w:r>
        <w:t xml:space="preserve"> The provisions in the </w:t>
      </w:r>
      <w:r w:rsidR="00D77D66">
        <w:t>TCJA</w:t>
      </w:r>
      <w:r>
        <w:t xml:space="preserve"> affect both individual and business income taxes. </w:t>
      </w:r>
    </w:p>
    <w:p w14:paraId="4F60ABF8" w14:textId="40F1D4F1" w:rsidR="001B181A" w:rsidRDefault="001B181A" w:rsidP="005E56EA">
      <w:pPr>
        <w:pStyle w:val="ListParagraph"/>
        <w:numPr>
          <w:ilvl w:val="0"/>
          <w:numId w:val="2"/>
        </w:numPr>
        <w:spacing w:after="120"/>
        <w:contextualSpacing w:val="0"/>
      </w:pPr>
      <w:r>
        <w:rPr>
          <w:b/>
        </w:rPr>
        <w:t xml:space="preserve">Individual Provisions. </w:t>
      </w:r>
      <w:r>
        <w:t xml:space="preserve">The </w:t>
      </w:r>
      <w:r w:rsidR="00057540">
        <w:t>TCJA</w:t>
      </w:r>
      <w:r>
        <w:t xml:space="preserve"> lowers the tax rates for almost all income groups, increases the standard deduction and child tax credit, and raises the exemption threshold for the alternative minimum tax. It limits</w:t>
      </w:r>
      <w:r w:rsidR="00B413A5">
        <w:t xml:space="preserve"> the state and local tax (SALT)</w:t>
      </w:r>
      <w:r>
        <w:t xml:space="preserve"> and mortgage interest deductions</w:t>
      </w:r>
      <w:r w:rsidR="00057540">
        <w:t>,</w:t>
      </w:r>
      <w:r>
        <w:t xml:space="preserve"> repeals the deduction for home equity loan</w:t>
      </w:r>
      <w:r w:rsidR="00B413A5">
        <w:t>s</w:t>
      </w:r>
      <w:r w:rsidR="00057540">
        <w:t>,</w:t>
      </w:r>
      <w:r>
        <w:t xml:space="preserve"> and eliminates the personal and dependent exemptions. </w:t>
      </w:r>
      <w:r w:rsidR="00057540">
        <w:t>It</w:t>
      </w:r>
      <w:r>
        <w:t xml:space="preserve"> also permanently repeals the Affordable Care Act’s individual mandate.</w:t>
      </w:r>
      <w:r w:rsidR="005E2A22">
        <w:t xml:space="preserve"> A number of the individual provisions including the lower rates are temporary and expire in 2025.</w:t>
      </w:r>
    </w:p>
    <w:p w14:paraId="4AB218BE" w14:textId="6C6E7E17" w:rsidR="001B181A" w:rsidRDefault="001B181A" w:rsidP="005E56EA">
      <w:pPr>
        <w:pStyle w:val="ListParagraph"/>
        <w:numPr>
          <w:ilvl w:val="0"/>
          <w:numId w:val="2"/>
        </w:numPr>
        <w:spacing w:after="120"/>
        <w:contextualSpacing w:val="0"/>
      </w:pPr>
      <w:r>
        <w:rPr>
          <w:b/>
        </w:rPr>
        <w:t xml:space="preserve">Business Provisions. </w:t>
      </w:r>
      <w:r w:rsidR="005758B0">
        <w:t xml:space="preserve">The </w:t>
      </w:r>
      <w:r>
        <w:t>TCJA</w:t>
      </w:r>
      <w:r w:rsidR="005758B0">
        <w:t xml:space="preserve"> permanently</w:t>
      </w:r>
      <w:r>
        <w:t xml:space="preserve"> cuts taxes for businesses by replacing the progressive corporate rates (having a top rate of 35 percent) with a flat rate of 21 percent. It allows a new 20 percent deduction for individuals with pass-through business incomes. It shifts the United States towards a “territorial” tax system</w:t>
      </w:r>
      <w:r w:rsidR="000000D3">
        <w:rPr>
          <w:rStyle w:val="FootnoteReference"/>
        </w:rPr>
        <w:footnoteReference w:id="19"/>
      </w:r>
      <w:r>
        <w:t xml:space="preserve">, and charges a one-time repatriation tax to enable multinational corporations </w:t>
      </w:r>
      <w:r w:rsidR="00B413A5">
        <w:t xml:space="preserve">to </w:t>
      </w:r>
      <w:r>
        <w:t xml:space="preserve">bring their existing foreign profits to the U.S. at reduced rates. </w:t>
      </w:r>
    </w:p>
    <w:p w14:paraId="2D6C0E16" w14:textId="77777777" w:rsidR="001B181A" w:rsidRPr="00605995" w:rsidRDefault="001B181A" w:rsidP="00F2473E">
      <w:pPr>
        <w:pStyle w:val="Heading2"/>
      </w:pPr>
      <w:bookmarkStart w:id="14" w:name="_Toc507592274"/>
      <w:r w:rsidRPr="00605995">
        <w:t>Impact on the National Economy</w:t>
      </w:r>
      <w:bookmarkEnd w:id="14"/>
    </w:p>
    <w:p w14:paraId="25652C66" w14:textId="4AE7C449" w:rsidR="001B181A" w:rsidRDefault="001B181A" w:rsidP="001B181A">
      <w:r>
        <w:t xml:space="preserve">The </w:t>
      </w:r>
      <w:r w:rsidR="009B4DA0">
        <w:t xml:space="preserve">TCJA is fundamentally a tax cut bill, </w:t>
      </w:r>
      <w:r>
        <w:t>with some elements of</w:t>
      </w:r>
      <w:r w:rsidR="009B4DA0">
        <w:t xml:space="preserve"> tax</w:t>
      </w:r>
      <w:r>
        <w:t xml:space="preserve"> reform. While tax cuts can work as </w:t>
      </w:r>
      <w:r w:rsidR="00B01730">
        <w:t xml:space="preserve">a stimulus for the economy, the TCJA is poorly timed and expected to widen the federal </w:t>
      </w:r>
      <w:r w:rsidR="00B01730">
        <w:lastRenderedPageBreak/>
        <w:t xml:space="preserve">deficit. As a result, </w:t>
      </w:r>
      <w:r w:rsidR="008B2ECD">
        <w:t>the Finance Division estimates that it</w:t>
      </w:r>
      <w:r w:rsidR="00B01730">
        <w:t xml:space="preserve"> will have only modest impacts on GDP growth and unemployment.</w:t>
      </w:r>
    </w:p>
    <w:p w14:paraId="356506B1" w14:textId="236A9575" w:rsidR="001B181A" w:rsidRPr="00865ED4" w:rsidRDefault="001B181A" w:rsidP="009A4457">
      <w:pPr>
        <w:spacing w:after="120"/>
      </w:pPr>
      <w:r>
        <w:t xml:space="preserve">Tax cuts are most effective when the economy is </w:t>
      </w:r>
      <w:r w:rsidR="008B2ECD">
        <w:t>sluggish</w:t>
      </w:r>
      <w:r>
        <w:t xml:space="preserve"> and there is high unemployment. </w:t>
      </w:r>
      <w:r w:rsidR="00D41E3F">
        <w:t>With t</w:t>
      </w:r>
      <w:r>
        <w:t>he U.S. economy close to full employment</w:t>
      </w:r>
      <w:r w:rsidR="00096A82">
        <w:t>, it</w:t>
      </w:r>
      <w:r>
        <w:t xml:space="preserve"> has little room for growth</w:t>
      </w:r>
      <w:r w:rsidR="00B677B7">
        <w:t>,</w:t>
      </w:r>
      <w:r w:rsidR="00096A82">
        <w:t xml:space="preserve"> making this</w:t>
      </w:r>
      <w:r>
        <w:t xml:space="preserve"> </w:t>
      </w:r>
      <w:r w:rsidR="00096A82" w:rsidRPr="00865ED4">
        <w:t>bad timing for stimulus spending.</w:t>
      </w:r>
    </w:p>
    <w:p w14:paraId="7FBE92A2" w14:textId="4AF46944" w:rsidR="001B181A" w:rsidRDefault="00096A82" w:rsidP="009A4457">
      <w:pPr>
        <w:spacing w:after="120"/>
      </w:pPr>
      <w:r>
        <w:t xml:space="preserve">The act also </w:t>
      </w:r>
      <w:r w:rsidRPr="00865ED4">
        <w:t>works counter to current monetary policy</w:t>
      </w:r>
      <w:r w:rsidRPr="00865ED4">
        <w:rPr>
          <w:b/>
        </w:rPr>
        <w:t>.</w:t>
      </w:r>
      <w:r>
        <w:rPr>
          <w:b/>
        </w:rPr>
        <w:t xml:space="preserve"> </w:t>
      </w:r>
      <w:r w:rsidR="001B181A">
        <w:t xml:space="preserve">The Federal Reserve has been working diligently over the past year to slow down the economy in order to prevent overheating. </w:t>
      </w:r>
      <w:r w:rsidR="00F466CF">
        <w:t>For example, t</w:t>
      </w:r>
      <w:r w:rsidR="001B181A">
        <w:t xml:space="preserve">he Federal Reserve has increased its federal funds rate five times since December 2015. In all likelihood, the stimulus from TCJA would force the Federal Reserve to increase the rate faster than it otherwise would. </w:t>
      </w:r>
    </w:p>
    <w:p w14:paraId="4D0C44FD" w14:textId="0E13FF9C" w:rsidR="001B181A" w:rsidRDefault="00096A82" w:rsidP="00AB189D">
      <w:pPr>
        <w:spacing w:after="120"/>
      </w:pPr>
      <w:r>
        <w:t>In addition,</w:t>
      </w:r>
      <w:r w:rsidR="00235F25" w:rsidRPr="00235F25">
        <w:t xml:space="preserve"> the TCJA is expected to have </w:t>
      </w:r>
      <w:r>
        <w:t xml:space="preserve">only </w:t>
      </w:r>
      <w:r w:rsidR="00235F25" w:rsidRPr="00605995">
        <w:t xml:space="preserve">a </w:t>
      </w:r>
      <w:r w:rsidR="00235F25" w:rsidRPr="00865ED4">
        <w:t>m</w:t>
      </w:r>
      <w:r w:rsidR="001B181A" w:rsidRPr="00865ED4">
        <w:t>inor impact on GDP.</w:t>
      </w:r>
      <w:r w:rsidR="001B181A" w:rsidRPr="00235F25">
        <w:rPr>
          <w:b/>
        </w:rPr>
        <w:t xml:space="preserve"> </w:t>
      </w:r>
      <w:r w:rsidR="001B181A">
        <w:t xml:space="preserve">Given that there is not much slack in the economy, the tax cuts will have </w:t>
      </w:r>
      <w:r w:rsidR="0021479D">
        <w:t>little</w:t>
      </w:r>
      <w:r w:rsidR="001B181A">
        <w:t xml:space="preserve"> effect on real GDP and unemployment rates. The </w:t>
      </w:r>
      <w:r w:rsidR="00F466CF">
        <w:t>Finance Division</w:t>
      </w:r>
      <w:r w:rsidR="001B181A">
        <w:t>’s Forecast reflects th</w:t>
      </w:r>
      <w:r w:rsidR="00F466CF">
        <w:t>is</w:t>
      </w:r>
      <w:r w:rsidR="001B181A">
        <w:t>. IHS Markit</w:t>
      </w:r>
      <w:r w:rsidR="00F466CF">
        <w:t>, a global information services firm,</w:t>
      </w:r>
      <w:r w:rsidR="001B181A">
        <w:t xml:space="preserve"> estimates that the </w:t>
      </w:r>
      <w:r w:rsidR="00F466CF">
        <w:t>TCJA</w:t>
      </w:r>
      <w:r w:rsidR="001B181A">
        <w:t xml:space="preserve"> would raise year-over-year real GDP by only one-tenth of a percent over its baseline projection in the </w:t>
      </w:r>
      <w:r w:rsidR="00605995">
        <w:t>eight</w:t>
      </w:r>
      <w:r w:rsidR="001B181A">
        <w:t>-year period ending in 2025.</w:t>
      </w:r>
      <w:r w:rsidR="001B181A">
        <w:rPr>
          <w:rStyle w:val="FootnoteReference"/>
        </w:rPr>
        <w:footnoteReference w:id="20"/>
      </w:r>
      <w:r w:rsidR="001B181A">
        <w:t xml:space="preserve"> Moreover, the </w:t>
      </w:r>
      <w:r w:rsidR="00F466CF">
        <w:t>TCJA</w:t>
      </w:r>
      <w:r w:rsidR="001B181A">
        <w:t xml:space="preserve"> is expected to subtract from real GDP growth in 2026 and 2027 if</w:t>
      </w:r>
      <w:r w:rsidR="005B5AF8">
        <w:t>, as is currently legislated,</w:t>
      </w:r>
      <w:r w:rsidR="001B181A">
        <w:t xml:space="preserve"> the individual provisions are allowed to sunset</w:t>
      </w:r>
      <w:r w:rsidR="001B181A" w:rsidRPr="00D95E6A">
        <w:t>.</w:t>
      </w:r>
    </w:p>
    <w:p w14:paraId="5186AE36" w14:textId="77777777" w:rsidR="001B181A" w:rsidRDefault="001B181A" w:rsidP="001B181A">
      <w:pPr>
        <w:spacing w:after="0"/>
      </w:pPr>
      <w:r>
        <w:rPr>
          <w:noProof/>
        </w:rPr>
        <w:drawing>
          <wp:inline distT="0" distB="0" distL="0" distR="0" wp14:anchorId="7A1010D5" wp14:editId="298E97D6">
            <wp:extent cx="5924550" cy="2773428"/>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D62403" w14:textId="77777777" w:rsidR="001B181A" w:rsidRPr="00857E39" w:rsidRDefault="001B181A" w:rsidP="001B181A">
      <w:pPr>
        <w:rPr>
          <w:i/>
          <w:sz w:val="20"/>
        </w:rPr>
      </w:pPr>
      <w:r w:rsidRPr="00857E39">
        <w:rPr>
          <w:b/>
          <w:i/>
          <w:sz w:val="20"/>
        </w:rPr>
        <w:t>Source</w:t>
      </w:r>
      <w:r w:rsidRPr="00857E39">
        <w:rPr>
          <w:i/>
          <w:sz w:val="20"/>
        </w:rPr>
        <w:t>: Macroeconomic Advisers by IHS Markit</w:t>
      </w:r>
    </w:p>
    <w:p w14:paraId="50304B20" w14:textId="4762C2B9" w:rsidR="001B181A" w:rsidRPr="00346C83" w:rsidRDefault="003D2F0F" w:rsidP="00096A82">
      <w:r>
        <w:t>Furthermore, t</w:t>
      </w:r>
      <w:r w:rsidR="00096A82">
        <w:t xml:space="preserve">he </w:t>
      </w:r>
      <w:r>
        <w:t>TCJA</w:t>
      </w:r>
      <w:r w:rsidR="00096A82">
        <w:t xml:space="preserve"> is only expected to have a </w:t>
      </w:r>
      <w:r w:rsidR="00096A82" w:rsidRPr="00865ED4">
        <w:t>slight i</w:t>
      </w:r>
      <w:r w:rsidR="001B181A" w:rsidRPr="00865ED4">
        <w:t xml:space="preserve">mpact on </w:t>
      </w:r>
      <w:r w:rsidR="00096A82" w:rsidRPr="00865ED4">
        <w:t>u</w:t>
      </w:r>
      <w:r w:rsidR="001B181A" w:rsidRPr="00865ED4">
        <w:t>nemployment.</w:t>
      </w:r>
      <w:r w:rsidR="001B181A" w:rsidRPr="00096A82">
        <w:rPr>
          <w:b/>
        </w:rPr>
        <w:t xml:space="preserve"> </w:t>
      </w:r>
      <w:r w:rsidR="001B181A">
        <w:t xml:space="preserve">The moderate increase in real GDP will slightly lower the unemployment rate below the baseline projections. From 2019 to 2025, the unemployment rate is </w:t>
      </w:r>
      <w:r w:rsidR="00B01730">
        <w:t>expected to drop between 0.1 percent and 0.3 percent</w:t>
      </w:r>
      <w:r w:rsidR="001B181A">
        <w:t xml:space="preserve"> below the baseline projections.</w:t>
      </w:r>
    </w:p>
    <w:p w14:paraId="213BDA4B" w14:textId="04692145" w:rsidR="00DA285F" w:rsidRDefault="00DA285F">
      <w:pPr>
        <w:spacing w:after="160" w:line="259" w:lineRule="auto"/>
        <w:jc w:val="left"/>
        <w:rPr>
          <w:b/>
          <w:szCs w:val="24"/>
        </w:rPr>
      </w:pPr>
      <w:r>
        <w:rPr>
          <w:b/>
          <w:szCs w:val="24"/>
        </w:rPr>
        <w:br w:type="page"/>
      </w:r>
    </w:p>
    <w:p w14:paraId="20E7FF8F" w14:textId="77777777" w:rsidR="001B181A" w:rsidRDefault="001B181A" w:rsidP="001B181A">
      <w:pPr>
        <w:spacing w:after="0"/>
      </w:pPr>
      <w:r>
        <w:rPr>
          <w:noProof/>
        </w:rPr>
        <w:lastRenderedPageBreak/>
        <w:drawing>
          <wp:inline distT="0" distB="0" distL="0" distR="0" wp14:anchorId="48CE68C6" wp14:editId="00FDA67C">
            <wp:extent cx="5867400" cy="2954797"/>
            <wp:effectExtent l="0" t="0" r="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43E53D" w14:textId="77777777" w:rsidR="001B181A" w:rsidRPr="0030430D" w:rsidRDefault="001B181A" w:rsidP="001B181A">
      <w:pPr>
        <w:rPr>
          <w:i/>
          <w:sz w:val="20"/>
          <w:szCs w:val="20"/>
        </w:rPr>
      </w:pPr>
      <w:r w:rsidRPr="0030430D">
        <w:rPr>
          <w:b/>
          <w:i/>
          <w:sz w:val="20"/>
          <w:szCs w:val="20"/>
        </w:rPr>
        <w:t>Source:</w:t>
      </w:r>
      <w:r w:rsidRPr="0030430D">
        <w:rPr>
          <w:i/>
          <w:sz w:val="20"/>
          <w:szCs w:val="20"/>
        </w:rPr>
        <w:t xml:space="preserve"> Macroeconomic Advisers by IHS Markit</w:t>
      </w:r>
    </w:p>
    <w:p w14:paraId="6ABE629F" w14:textId="3208BC99" w:rsidR="001B181A" w:rsidRDefault="00096A82" w:rsidP="00096A82">
      <w:pPr>
        <w:spacing w:before="240"/>
      </w:pPr>
      <w:r>
        <w:t>For all these modest outcomes,</w:t>
      </w:r>
      <w:r w:rsidR="001B181A" w:rsidRPr="00096A82">
        <w:rPr>
          <w:b/>
        </w:rPr>
        <w:t xml:space="preserve"> </w:t>
      </w:r>
      <w:r>
        <w:t>t</w:t>
      </w:r>
      <w:r w:rsidR="001B181A">
        <w:t xml:space="preserve">he </w:t>
      </w:r>
      <w:r w:rsidR="003D2F0F">
        <w:t>TCJA</w:t>
      </w:r>
      <w:r w:rsidR="001B181A">
        <w:t xml:space="preserve"> will cost the federal government close to $1.5 trillion over the ten-year period ending in 2027</w:t>
      </w:r>
      <w:r>
        <w:t xml:space="preserve">, </w:t>
      </w:r>
      <w:r w:rsidRPr="00865ED4">
        <w:t>greatly increasing the federal deficit</w:t>
      </w:r>
      <w:r w:rsidR="001B181A" w:rsidRPr="00865ED4">
        <w:t>.</w:t>
      </w:r>
      <w:r w:rsidR="001B181A" w:rsidRPr="00865ED4">
        <w:rPr>
          <w:rStyle w:val="FootnoteReference"/>
        </w:rPr>
        <w:footnoteReference w:id="21"/>
      </w:r>
      <w:r w:rsidR="001B181A">
        <w:t xml:space="preserve"> Th</w:t>
      </w:r>
      <w:r w:rsidR="003D2F0F">
        <w:t>is</w:t>
      </w:r>
      <w:r w:rsidR="001B181A">
        <w:t xml:space="preserve"> cost w</w:t>
      </w:r>
      <w:r w:rsidR="003D2F0F">
        <w:t>ould</w:t>
      </w:r>
      <w:r w:rsidR="001B181A">
        <w:t xml:space="preserve"> be offset by a </w:t>
      </w:r>
      <w:r w:rsidR="003D2F0F">
        <w:t xml:space="preserve">projected </w:t>
      </w:r>
      <w:r w:rsidR="001B181A">
        <w:t xml:space="preserve">$385 billion increase in federal revenues from the economic growth </w:t>
      </w:r>
      <w:r w:rsidR="003D2F0F">
        <w:t xml:space="preserve">generated by </w:t>
      </w:r>
      <w:r w:rsidR="001B181A">
        <w:t xml:space="preserve">the </w:t>
      </w:r>
      <w:r w:rsidR="003D2F0F">
        <w:t>TCJA</w:t>
      </w:r>
      <w:r w:rsidR="001B181A">
        <w:t>, resulting in a net increase of the deficit by more than $1 trillion</w:t>
      </w:r>
      <w:r w:rsidR="001B181A" w:rsidRPr="00926628">
        <w:t xml:space="preserve"> </w:t>
      </w:r>
      <w:r w:rsidR="001B181A">
        <w:t xml:space="preserve">over the </w:t>
      </w:r>
      <w:r w:rsidR="003D2F0F">
        <w:t xml:space="preserve">ten-year </w:t>
      </w:r>
      <w:r w:rsidR="001B181A">
        <w:t xml:space="preserve">period. </w:t>
      </w:r>
      <w:r w:rsidR="003D2F0F">
        <w:t>Based on the public statements of several officials, t</w:t>
      </w:r>
      <w:r w:rsidR="001B181A">
        <w:t xml:space="preserve">he </w:t>
      </w:r>
      <w:r w:rsidR="003D2F0F">
        <w:t>Trump</w:t>
      </w:r>
      <w:r w:rsidR="001B181A">
        <w:t xml:space="preserve"> </w:t>
      </w:r>
      <w:r w:rsidR="003D2F0F">
        <w:t>A</w:t>
      </w:r>
      <w:r w:rsidR="001B181A">
        <w:t xml:space="preserve">dministration might use the deficit created by TCJA as a reason to cut spending on social safety programs </w:t>
      </w:r>
      <w:r w:rsidR="00677FA1">
        <w:t xml:space="preserve">relied on by millions of New Yorkers </w:t>
      </w:r>
      <w:r w:rsidR="001B181A">
        <w:t xml:space="preserve">and </w:t>
      </w:r>
      <w:r w:rsidR="001B181A" w:rsidRPr="00346C83">
        <w:t xml:space="preserve">reduce </w:t>
      </w:r>
      <w:r w:rsidR="0091782D">
        <w:t xml:space="preserve">City </w:t>
      </w:r>
      <w:r w:rsidR="001B181A" w:rsidRPr="00346C83">
        <w:t>aid.</w:t>
      </w:r>
    </w:p>
    <w:p w14:paraId="6A5D728A" w14:textId="1D3C9706" w:rsidR="001B181A" w:rsidRDefault="001B181A" w:rsidP="001B181A">
      <w:pPr>
        <w:spacing w:after="0"/>
        <w:rPr>
          <w:noProof/>
        </w:rPr>
      </w:pPr>
      <w:r>
        <w:rPr>
          <w:noProof/>
        </w:rPr>
        <w:drawing>
          <wp:inline distT="0" distB="0" distL="0" distR="0" wp14:anchorId="6E2F705D" wp14:editId="3D25C5EB">
            <wp:extent cx="5657850" cy="2917012"/>
            <wp:effectExtent l="0" t="0" r="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419052" w14:textId="5A4776C7" w:rsidR="00665306" w:rsidRPr="00665306" w:rsidRDefault="00665306" w:rsidP="001B181A">
      <w:pPr>
        <w:spacing w:after="0"/>
        <w:rPr>
          <w:noProof/>
          <w:sz w:val="4"/>
          <w:szCs w:val="4"/>
        </w:rPr>
      </w:pPr>
    </w:p>
    <w:p w14:paraId="1E00024F" w14:textId="4ACCDDA1" w:rsidR="001B181A" w:rsidRPr="008A192B" w:rsidRDefault="001B181A" w:rsidP="001B181A">
      <w:pPr>
        <w:rPr>
          <w:i/>
          <w:sz w:val="20"/>
          <w:szCs w:val="20"/>
        </w:rPr>
      </w:pPr>
      <w:r w:rsidRPr="008A192B">
        <w:rPr>
          <w:b/>
          <w:i/>
          <w:sz w:val="20"/>
          <w:szCs w:val="20"/>
        </w:rPr>
        <w:t>Source:</w:t>
      </w:r>
      <w:r w:rsidRPr="008A192B">
        <w:rPr>
          <w:i/>
          <w:sz w:val="20"/>
          <w:szCs w:val="20"/>
        </w:rPr>
        <w:t xml:space="preserve"> Macr</w:t>
      </w:r>
      <w:r w:rsidR="00F33A30">
        <w:rPr>
          <w:i/>
          <w:sz w:val="20"/>
          <w:szCs w:val="20"/>
        </w:rPr>
        <w:t>oeconomic Advisers by IHS Market</w:t>
      </w:r>
    </w:p>
    <w:p w14:paraId="016552F1" w14:textId="77777777" w:rsidR="001B181A" w:rsidRPr="00ED581D" w:rsidRDefault="001B181A" w:rsidP="00F2473E">
      <w:pPr>
        <w:pStyle w:val="Heading2"/>
        <w:rPr>
          <w:sz w:val="26"/>
        </w:rPr>
      </w:pPr>
      <w:bookmarkStart w:id="15" w:name="_Toc507592275"/>
      <w:r w:rsidRPr="00ED581D">
        <w:rPr>
          <w:sz w:val="26"/>
        </w:rPr>
        <w:lastRenderedPageBreak/>
        <w:t>Impact on New York City</w:t>
      </w:r>
      <w:bookmarkEnd w:id="15"/>
    </w:p>
    <w:p w14:paraId="272B8A8B" w14:textId="582A02DC" w:rsidR="001B181A" w:rsidRDefault="001B181A" w:rsidP="00664AC4">
      <w:pPr>
        <w:spacing w:after="120"/>
      </w:pPr>
      <w:r>
        <w:t xml:space="preserve">The </w:t>
      </w:r>
      <w:r w:rsidR="006D5ED6">
        <w:t>Finance Division</w:t>
      </w:r>
      <w:r>
        <w:t>’s economic and tax forecasts do not assume any local impacts</w:t>
      </w:r>
      <w:r w:rsidR="006D5ED6">
        <w:t xml:space="preserve"> of the TCJA</w:t>
      </w:r>
      <w:r>
        <w:t xml:space="preserve"> other than those associated with the national economy. However, the </w:t>
      </w:r>
      <w:r w:rsidR="006D5ED6">
        <w:t>law</w:t>
      </w:r>
      <w:r>
        <w:t xml:space="preserve"> includes several provisions that will affect the </w:t>
      </w:r>
      <w:r w:rsidR="006D5ED6">
        <w:t>c</w:t>
      </w:r>
      <w:r>
        <w:t>ity’s residents, economy, and tax revenues. The major impact will result from the limitation on the SALT</w:t>
      </w:r>
      <w:r w:rsidR="007E5CF4">
        <w:t xml:space="preserve"> deduction</w:t>
      </w:r>
      <w:r>
        <w:t>.</w:t>
      </w:r>
      <w:r>
        <w:rPr>
          <w:b/>
        </w:rPr>
        <w:t xml:space="preserve"> </w:t>
      </w:r>
      <w:r w:rsidRPr="00346C83">
        <w:t>Previously</w:t>
      </w:r>
      <w:r w:rsidRPr="00F76D91">
        <w:t>,</w:t>
      </w:r>
      <w:r>
        <w:t xml:space="preserve"> individuals were allowed to fully deduct their state and local property taxes, and either their income or sales tax (</w:t>
      </w:r>
      <w:r w:rsidR="007E5CF4">
        <w:t xml:space="preserve">but </w:t>
      </w:r>
      <w:r>
        <w:t xml:space="preserve">not both). </w:t>
      </w:r>
    </w:p>
    <w:p w14:paraId="4C6EC9AB" w14:textId="5EBC8DA2" w:rsidR="001B181A" w:rsidRDefault="001B181A" w:rsidP="00ED581D">
      <w:pPr>
        <w:pStyle w:val="ListParagraph"/>
        <w:numPr>
          <w:ilvl w:val="0"/>
          <w:numId w:val="4"/>
        </w:numPr>
        <w:spacing w:before="120" w:after="120"/>
        <w:contextualSpacing w:val="0"/>
      </w:pPr>
      <w:r w:rsidRPr="00346C83">
        <w:rPr>
          <w:b/>
        </w:rPr>
        <w:t xml:space="preserve">The </w:t>
      </w:r>
      <w:r w:rsidR="007E5CF4">
        <w:rPr>
          <w:b/>
        </w:rPr>
        <w:t>TCJA</w:t>
      </w:r>
      <w:r w:rsidRPr="00346C83">
        <w:rPr>
          <w:b/>
        </w:rPr>
        <w:t xml:space="preserve"> will now cap the amount of the</w:t>
      </w:r>
      <w:r w:rsidR="007E5CF4">
        <w:rPr>
          <w:b/>
        </w:rPr>
        <w:t xml:space="preserve"> SALT</w:t>
      </w:r>
      <w:r w:rsidRPr="00346C83">
        <w:rPr>
          <w:b/>
        </w:rPr>
        <w:t xml:space="preserve"> deduction at $10,000.</w:t>
      </w:r>
      <w:r>
        <w:t xml:space="preserve"> This change will increase federal tax liabilities for the 1.3 million New Yorkers who claimed over $36 billion in SALT benefits in 2015.</w:t>
      </w:r>
      <w:r>
        <w:rPr>
          <w:rStyle w:val="FootnoteReference"/>
        </w:rPr>
        <w:footnoteReference w:id="22"/>
      </w:r>
      <w:r>
        <w:t xml:space="preserve"> These people will also see increases in the effective cost of their state and city taxes. </w:t>
      </w:r>
    </w:p>
    <w:p w14:paraId="513B7BED" w14:textId="1C12FD21" w:rsidR="001B181A" w:rsidRDefault="001B181A" w:rsidP="00ED581D">
      <w:pPr>
        <w:pStyle w:val="ListParagraph"/>
        <w:numPr>
          <w:ilvl w:val="0"/>
          <w:numId w:val="4"/>
        </w:numPr>
        <w:spacing w:before="120" w:after="120"/>
        <w:contextualSpacing w:val="0"/>
      </w:pPr>
      <w:r w:rsidRPr="00F76D91">
        <w:rPr>
          <w:b/>
        </w:rPr>
        <w:t>High-</w:t>
      </w:r>
      <w:r w:rsidRPr="00346C83">
        <w:rPr>
          <w:b/>
        </w:rPr>
        <w:t>i</w:t>
      </w:r>
      <w:r w:rsidRPr="00F76D91">
        <w:rPr>
          <w:b/>
        </w:rPr>
        <w:t xml:space="preserve">ncome New Yorkers will </w:t>
      </w:r>
      <w:r w:rsidR="00552E00">
        <w:rPr>
          <w:b/>
        </w:rPr>
        <w:t xml:space="preserve">endure </w:t>
      </w:r>
      <w:r w:rsidR="00552E00" w:rsidRPr="00346C83">
        <w:rPr>
          <w:b/>
        </w:rPr>
        <w:t>most</w:t>
      </w:r>
      <w:r w:rsidRPr="00F76D91">
        <w:rPr>
          <w:b/>
        </w:rPr>
        <w:t xml:space="preserve"> of the </w:t>
      </w:r>
      <w:r w:rsidRPr="00346C83">
        <w:rPr>
          <w:b/>
        </w:rPr>
        <w:t>b</w:t>
      </w:r>
      <w:r w:rsidRPr="00F76D91">
        <w:rPr>
          <w:b/>
        </w:rPr>
        <w:t>urden</w:t>
      </w:r>
      <w:r w:rsidR="00552E00">
        <w:rPr>
          <w:b/>
        </w:rPr>
        <w:t xml:space="preserve"> of the SALT limitation</w:t>
      </w:r>
      <w:r w:rsidRPr="00346C83">
        <w:rPr>
          <w:b/>
        </w:rPr>
        <w:t xml:space="preserve">. </w:t>
      </w:r>
      <w:r>
        <w:t>Because they pay higher state and city taxes, high-income taxpayers tend to receive a disproportionate share of the benefits from SALT deductions. City filers with adjusted gross incomes (AGI) of $200,000 or more deducted an average SALT benefit of $119,100 in 2015, which far exceeds the</w:t>
      </w:r>
      <w:r w:rsidR="00552E00">
        <w:t xml:space="preserve"> new</w:t>
      </w:r>
      <w:r>
        <w:t xml:space="preserve"> $10,000 cap.</w:t>
      </w:r>
      <w:r w:rsidR="002A5DE3">
        <w:rPr>
          <w:rStyle w:val="FootnoteReference"/>
        </w:rPr>
        <w:footnoteReference w:id="23"/>
      </w:r>
      <w:r>
        <w:t xml:space="preserve"> </w:t>
      </w:r>
    </w:p>
    <w:p w14:paraId="720E0A50" w14:textId="191D9246" w:rsidR="001B181A" w:rsidRDefault="00552E00" w:rsidP="00ED581D">
      <w:pPr>
        <w:pStyle w:val="ListParagraph"/>
        <w:numPr>
          <w:ilvl w:val="0"/>
          <w:numId w:val="1"/>
        </w:numPr>
        <w:spacing w:before="120" w:after="120"/>
        <w:contextualSpacing w:val="0"/>
      </w:pPr>
      <w:r>
        <w:rPr>
          <w:b/>
        </w:rPr>
        <w:t>The SALT changes c</w:t>
      </w:r>
      <w:r w:rsidR="001B181A">
        <w:rPr>
          <w:b/>
        </w:rPr>
        <w:t xml:space="preserve">ould lead to tax flight. </w:t>
      </w:r>
      <w:r w:rsidR="006E54FE">
        <w:t>There are some</w:t>
      </w:r>
      <w:r w:rsidR="001B181A">
        <w:t xml:space="preserve"> concerns that the cap on the SALT deduction could lead to “tax flight” from the </w:t>
      </w:r>
      <w:r w:rsidR="00605995">
        <w:t>C</w:t>
      </w:r>
      <w:r w:rsidR="006E54FE">
        <w:t xml:space="preserve">ity. Some New Yorkers </w:t>
      </w:r>
      <w:r w:rsidR="001B181A">
        <w:t xml:space="preserve">may be encouraged to move to other areas in search of lower taxes. </w:t>
      </w:r>
      <w:r w:rsidR="006E54FE">
        <w:t>Finance Division expects this effect to be small, though small effects occurring over long periods can matter.</w:t>
      </w:r>
    </w:p>
    <w:p w14:paraId="1FAE8963" w14:textId="3E08BAE2" w:rsidR="001B181A" w:rsidRDefault="00654534" w:rsidP="00ED581D">
      <w:pPr>
        <w:pStyle w:val="ListParagraph"/>
        <w:numPr>
          <w:ilvl w:val="0"/>
          <w:numId w:val="1"/>
        </w:numPr>
        <w:spacing w:before="120" w:after="120"/>
        <w:contextualSpacing w:val="0"/>
      </w:pPr>
      <w:r>
        <w:rPr>
          <w:b/>
        </w:rPr>
        <w:t>TCJA’s homeownership-related changes c</w:t>
      </w:r>
      <w:r w:rsidR="001B181A">
        <w:rPr>
          <w:b/>
        </w:rPr>
        <w:t>ould reduce home v</w:t>
      </w:r>
      <w:r w:rsidR="001B181A" w:rsidRPr="00F5657B">
        <w:rPr>
          <w:b/>
        </w:rPr>
        <w:t xml:space="preserve">alues. </w:t>
      </w:r>
      <w:r w:rsidR="001B181A">
        <w:t>Apart from the cap on SALT deductions, TCJA makes changes to two other key provisions that encourage homeownership: it limits the mortgage interest deduction to $750,000 from $1 million and eliminates the deduction for home-equity loans. These changes, along with the cap on SALT deductions, are expected to hurt housing prices in areas with high-property taxes</w:t>
      </w:r>
      <w:r w:rsidR="001E7E69">
        <w:t xml:space="preserve">, such as New York </w:t>
      </w:r>
      <w:r w:rsidR="001B181A">
        <w:t>City. According to Moody’s Analytics, the TCJA provisions would cause home values to decline sharply in 17 counties in New York and New Jersey.</w:t>
      </w:r>
      <w:r w:rsidR="001B181A">
        <w:rPr>
          <w:rStyle w:val="FootnoteReference"/>
        </w:rPr>
        <w:footnoteReference w:id="24"/>
      </w:r>
      <w:r w:rsidR="001B181A">
        <w:t xml:space="preserve"> In Manhattan alone</w:t>
      </w:r>
      <w:r w:rsidR="001E7E69">
        <w:t>,</w:t>
      </w:r>
      <w:r w:rsidR="001B181A">
        <w:t xml:space="preserve"> housing values could drop 10.4 percent from where they would have been without the </w:t>
      </w:r>
      <w:r w:rsidR="001E7E69">
        <w:t>TCJA</w:t>
      </w:r>
      <w:r w:rsidR="001B181A">
        <w:t>.</w:t>
      </w:r>
    </w:p>
    <w:p w14:paraId="05D96B38" w14:textId="108484F1" w:rsidR="001B181A" w:rsidRDefault="006211E7" w:rsidP="00ED581D">
      <w:pPr>
        <w:spacing w:before="120" w:after="120"/>
      </w:pPr>
      <w:r>
        <w:t xml:space="preserve">The </w:t>
      </w:r>
      <w:r w:rsidR="001B181A">
        <w:t xml:space="preserve">30-day amendments </w:t>
      </w:r>
      <w:r>
        <w:t xml:space="preserve">to the New York State Executive Budget contain </w:t>
      </w:r>
      <w:r w:rsidR="001B181A">
        <w:t>several proposals designed to reduce the impact of the cap on SALT deduction.</w:t>
      </w:r>
      <w:r w:rsidR="001E7E69">
        <w:rPr>
          <w:rStyle w:val="FootnoteReference"/>
        </w:rPr>
        <w:footnoteReference w:id="25"/>
      </w:r>
      <w:r w:rsidR="00C751ED">
        <w:t xml:space="preserve"> The Finance Division </w:t>
      </w:r>
      <w:r w:rsidR="006E54FE">
        <w:t>is reviewing</w:t>
      </w:r>
      <w:r w:rsidR="00C751ED">
        <w:t xml:space="preserve"> these proposals.</w:t>
      </w:r>
    </w:p>
    <w:p w14:paraId="00F2E511" w14:textId="33F43A4A" w:rsidR="001B181A" w:rsidRPr="00664AC4" w:rsidRDefault="001B181A" w:rsidP="00F2473E">
      <w:pPr>
        <w:pStyle w:val="Heading2"/>
        <w:rPr>
          <w:sz w:val="26"/>
        </w:rPr>
      </w:pPr>
      <w:bookmarkStart w:id="16" w:name="_Toc507592276"/>
      <w:r w:rsidRPr="00664AC4">
        <w:rPr>
          <w:sz w:val="26"/>
        </w:rPr>
        <w:t>Impact on City Revenues</w:t>
      </w:r>
      <w:bookmarkEnd w:id="16"/>
    </w:p>
    <w:p w14:paraId="53311ADB" w14:textId="59EC3DE4" w:rsidR="00B01730" w:rsidRDefault="00B01730" w:rsidP="00664AC4">
      <w:pPr>
        <w:spacing w:after="120"/>
      </w:pPr>
      <w:r w:rsidRPr="00A82B4E">
        <w:rPr>
          <w:b/>
        </w:rPr>
        <w:t xml:space="preserve">The </w:t>
      </w:r>
      <w:r w:rsidR="00300079" w:rsidRPr="00A82B4E">
        <w:rPr>
          <w:b/>
        </w:rPr>
        <w:t>TCJA</w:t>
      </w:r>
      <w:r w:rsidRPr="00A82B4E">
        <w:rPr>
          <w:b/>
        </w:rPr>
        <w:t xml:space="preserve"> will unintentionally increase tax revenues for the City, but do</w:t>
      </w:r>
      <w:r w:rsidR="00300079" w:rsidRPr="00A82B4E">
        <w:rPr>
          <w:b/>
        </w:rPr>
        <w:t>es</w:t>
      </w:r>
      <w:r w:rsidRPr="00A82B4E">
        <w:rPr>
          <w:b/>
        </w:rPr>
        <w:t xml:space="preserve"> so on the backs of</w:t>
      </w:r>
      <w:r w:rsidR="00300079" w:rsidRPr="00A82B4E">
        <w:rPr>
          <w:b/>
        </w:rPr>
        <w:t xml:space="preserve"> low and middle-income</w:t>
      </w:r>
      <w:r w:rsidRPr="00A82B4E">
        <w:rPr>
          <w:b/>
        </w:rPr>
        <w:t xml:space="preserve"> </w:t>
      </w:r>
      <w:r w:rsidRPr="00A82B4E">
        <w:t>households</w:t>
      </w:r>
      <w:r w:rsidRPr="00A82B4E">
        <w:rPr>
          <w:b/>
        </w:rPr>
        <w:t>.</w:t>
      </w:r>
      <w:r w:rsidR="001B181A">
        <w:t xml:space="preserve"> </w:t>
      </w:r>
      <w:r w:rsidR="00300079">
        <w:t>M</w:t>
      </w:r>
      <w:r w:rsidR="001B181A">
        <w:t>any of the changes</w:t>
      </w:r>
      <w:r w:rsidR="00300079">
        <w:t xml:space="preserve"> included in the TCJA</w:t>
      </w:r>
      <w:r w:rsidR="001B181A">
        <w:t xml:space="preserve"> will flow-through to state and city taxes, notably the PIT, due to their conformity to federal tax laws. The Finance Division believes the impact on PIT revenues would be positive for the </w:t>
      </w:r>
      <w:r w:rsidR="00605995">
        <w:t>C</w:t>
      </w:r>
      <w:r w:rsidR="001B181A">
        <w:t>ity</w:t>
      </w:r>
      <w:r w:rsidR="00830C38">
        <w:t xml:space="preserve">, but burdensome on </w:t>
      </w:r>
      <w:r w:rsidR="00830C38">
        <w:lastRenderedPageBreak/>
        <w:t>individual taxpayers</w:t>
      </w:r>
      <w:r w:rsidR="001B181A">
        <w:t xml:space="preserve">. </w:t>
      </w:r>
      <w:r w:rsidR="001B181A" w:rsidRPr="00D95E6A">
        <w:t xml:space="preserve">To mitigate </w:t>
      </w:r>
      <w:r w:rsidR="001B181A">
        <w:t xml:space="preserve">against </w:t>
      </w:r>
      <w:r w:rsidR="001B181A" w:rsidRPr="00D95E6A">
        <w:t xml:space="preserve">these conformity issues, the </w:t>
      </w:r>
      <w:r w:rsidR="00605995">
        <w:t>S</w:t>
      </w:r>
      <w:r w:rsidR="001B181A" w:rsidRPr="00D95E6A">
        <w:t xml:space="preserve">tate and </w:t>
      </w:r>
      <w:r w:rsidR="00605995">
        <w:t>C</w:t>
      </w:r>
      <w:r w:rsidR="001B181A" w:rsidRPr="00D95E6A">
        <w:t>ity would need to pass legislation to decouple from some specific federal laws.</w:t>
      </w:r>
      <w:r w:rsidR="001B181A">
        <w:t xml:space="preserve"> </w:t>
      </w:r>
    </w:p>
    <w:p w14:paraId="1E4F59AC" w14:textId="1D781986" w:rsidR="001B181A" w:rsidRDefault="00B01730" w:rsidP="00B01730">
      <w:r>
        <w:t>One such change</w:t>
      </w:r>
      <w:r w:rsidR="00830B76">
        <w:t xml:space="preserve"> that would need to be addressed is</w:t>
      </w:r>
      <w:r>
        <w:t xml:space="preserve"> the </w:t>
      </w:r>
      <w:r w:rsidRPr="00A82B4E">
        <w:t>e</w:t>
      </w:r>
      <w:r w:rsidR="001B181A" w:rsidRPr="00A82B4E">
        <w:t>liminatio</w:t>
      </w:r>
      <w:r w:rsidRPr="00A82B4E">
        <w:t>n of the personal and d</w:t>
      </w:r>
      <w:r w:rsidR="001B181A" w:rsidRPr="00A82B4E">
        <w:t xml:space="preserve">ependent </w:t>
      </w:r>
      <w:r w:rsidRPr="00A82B4E">
        <w:t>e</w:t>
      </w:r>
      <w:r w:rsidR="001B181A" w:rsidRPr="00A82B4E">
        <w:t xml:space="preserve">xemption. </w:t>
      </w:r>
      <w:r w:rsidR="001B181A" w:rsidRPr="00D95E6A">
        <w:t xml:space="preserve">In order to claim the $8,000 </w:t>
      </w:r>
      <w:r w:rsidR="00830B76">
        <w:t xml:space="preserve">New York </w:t>
      </w:r>
      <w:r w:rsidR="001B181A" w:rsidRPr="00D95E6A">
        <w:t xml:space="preserve">State standard deduction available to non-dependent single filers, </w:t>
      </w:r>
      <w:r w:rsidR="00830B76">
        <w:t>s</w:t>
      </w:r>
      <w:r w:rsidR="001B181A" w:rsidRPr="00D95E6A">
        <w:t xml:space="preserve">tate law requires that </w:t>
      </w:r>
      <w:r w:rsidR="00B413A5">
        <w:t>a filer</w:t>
      </w:r>
      <w:r w:rsidR="001B181A" w:rsidRPr="00D95E6A" w:rsidDel="004C229F">
        <w:t xml:space="preserve"> </w:t>
      </w:r>
      <w:r w:rsidR="001B181A" w:rsidRPr="00D95E6A">
        <w:t>claim</w:t>
      </w:r>
      <w:r w:rsidR="00830B76">
        <w:t xml:space="preserve"> at least one of the</w:t>
      </w:r>
      <w:r w:rsidR="001B181A" w:rsidRPr="00D95E6A">
        <w:t xml:space="preserve"> federal personal and dependent exemptions. With the personal and dependent exemption eliminated at the federal level, </w:t>
      </w:r>
      <w:r w:rsidR="00830B76">
        <w:t>s</w:t>
      </w:r>
      <w:r w:rsidR="001B181A" w:rsidRPr="00D95E6A">
        <w:t xml:space="preserve">tate law would regard all single filers as dependents and therefore allow them to claim only $3,000 from the State standard deduction. </w:t>
      </w:r>
      <w:r w:rsidR="007A1007">
        <w:t>As a result, a</w:t>
      </w:r>
      <w:r w:rsidR="001B181A" w:rsidRPr="00D95E6A">
        <w:t>pproximately 2.4 million New Yorkers would see their State tax liabilities increase by about $210 million.</w:t>
      </w:r>
      <w:r w:rsidR="001B181A" w:rsidRPr="00BB173D">
        <w:rPr>
          <w:rStyle w:val="FootnoteReference"/>
        </w:rPr>
        <w:t xml:space="preserve"> </w:t>
      </w:r>
      <w:r w:rsidR="001B181A" w:rsidRPr="00BB173D">
        <w:rPr>
          <w:rStyle w:val="FootnoteReference"/>
        </w:rPr>
        <w:footnoteReference w:id="26"/>
      </w:r>
    </w:p>
    <w:p w14:paraId="25B8B887" w14:textId="2756E30E" w:rsidR="00636828" w:rsidRDefault="007A1007" w:rsidP="001B181A">
      <w:r>
        <w:t>T</w:t>
      </w:r>
      <w:r w:rsidR="006211E7">
        <w:t xml:space="preserve">he </w:t>
      </w:r>
      <w:r w:rsidR="006211E7" w:rsidRPr="006211E7">
        <w:t xml:space="preserve">30-day amendments to the New York State Executive Budget </w:t>
      </w:r>
      <w:r w:rsidR="001B181A">
        <w:t>ha</w:t>
      </w:r>
      <w:r w:rsidR="00B413A5">
        <w:t>ve</w:t>
      </w:r>
      <w:r>
        <w:t xml:space="preserve"> </w:t>
      </w:r>
      <w:r w:rsidR="001B181A">
        <w:t>several proposals designed to address such conformity issues</w:t>
      </w:r>
      <w:r w:rsidR="00B01730">
        <w:t>.</w:t>
      </w:r>
      <w:r w:rsidR="00830C38">
        <w:rPr>
          <w:rStyle w:val="FootnoteReference"/>
        </w:rPr>
        <w:footnoteReference w:id="27"/>
      </w:r>
    </w:p>
    <w:p w14:paraId="008EC74A" w14:textId="1E891B6C" w:rsidR="001B181A" w:rsidRPr="001741AB" w:rsidRDefault="001B181A" w:rsidP="00664AC4">
      <w:pPr>
        <w:pStyle w:val="Heading1"/>
        <w:spacing w:after="120"/>
      </w:pPr>
      <w:bookmarkStart w:id="17" w:name="_Toc507592277"/>
      <w:r w:rsidRPr="001741AB">
        <w:t>Risks to Revenue Budget</w:t>
      </w:r>
      <w:bookmarkEnd w:id="17"/>
    </w:p>
    <w:p w14:paraId="00801D4E" w14:textId="6679B72F" w:rsidR="001B181A" w:rsidRPr="00664AC4" w:rsidRDefault="001B181A" w:rsidP="00F2473E">
      <w:pPr>
        <w:pStyle w:val="Heading2"/>
        <w:rPr>
          <w:sz w:val="26"/>
        </w:rPr>
      </w:pPr>
      <w:bookmarkStart w:id="18" w:name="_Toc507592278"/>
      <w:r w:rsidRPr="00664AC4">
        <w:rPr>
          <w:sz w:val="26"/>
        </w:rPr>
        <w:t xml:space="preserve">Risks to the </w:t>
      </w:r>
      <w:r w:rsidR="00794F30" w:rsidRPr="00664AC4">
        <w:rPr>
          <w:sz w:val="26"/>
        </w:rPr>
        <w:t xml:space="preserve">Economic </w:t>
      </w:r>
      <w:r w:rsidRPr="00664AC4">
        <w:rPr>
          <w:sz w:val="26"/>
        </w:rPr>
        <w:t>Forecast</w:t>
      </w:r>
      <w:bookmarkEnd w:id="18"/>
    </w:p>
    <w:p w14:paraId="6CAD837C" w14:textId="77777777" w:rsidR="000464E3" w:rsidRDefault="007034EB" w:rsidP="004A75E7">
      <w:r>
        <w:t>The</w:t>
      </w:r>
      <w:r w:rsidR="004A75E7">
        <w:t>re are</w:t>
      </w:r>
      <w:r>
        <w:t xml:space="preserve"> </w:t>
      </w:r>
      <w:r w:rsidR="00F37359">
        <w:t>three</w:t>
      </w:r>
      <w:r>
        <w:t xml:space="preserve"> main r</w:t>
      </w:r>
      <w:r w:rsidR="001B181A" w:rsidRPr="001B181A">
        <w:t xml:space="preserve">isks to the </w:t>
      </w:r>
      <w:r w:rsidR="004A75E7">
        <w:t>economic</w:t>
      </w:r>
      <w:r w:rsidR="001B181A" w:rsidRPr="001B181A">
        <w:t xml:space="preserve"> forecast</w:t>
      </w:r>
      <w:r w:rsidR="004A75E7">
        <w:t>, though they</w:t>
      </w:r>
      <w:r w:rsidR="001B181A" w:rsidRPr="001B181A">
        <w:t xml:space="preserve"> </w:t>
      </w:r>
      <w:r>
        <w:t>are</w:t>
      </w:r>
      <w:r w:rsidR="004A75E7">
        <w:t xml:space="preserve"> relatively</w:t>
      </w:r>
      <w:r>
        <w:t xml:space="preserve"> modest</w:t>
      </w:r>
      <w:r w:rsidR="00FB12F1">
        <w:t xml:space="preserve">: </w:t>
      </w:r>
    </w:p>
    <w:p w14:paraId="012D43C9" w14:textId="7A3100CD" w:rsidR="000464E3" w:rsidRDefault="000464E3" w:rsidP="002E0925">
      <w:pPr>
        <w:pStyle w:val="ListParagraph"/>
        <w:numPr>
          <w:ilvl w:val="0"/>
          <w:numId w:val="16"/>
        </w:numPr>
        <w:spacing w:before="100" w:after="0"/>
        <w:contextualSpacing w:val="0"/>
      </w:pPr>
      <w:r>
        <w:t>A</w:t>
      </w:r>
      <w:r w:rsidR="00FB12F1">
        <w:t>n overheating economy</w:t>
      </w:r>
      <w:r w:rsidR="00F37359">
        <w:t xml:space="preserve"> spurring higher interest rates</w:t>
      </w:r>
      <w:r>
        <w:t>;</w:t>
      </w:r>
    </w:p>
    <w:p w14:paraId="6E1298BF" w14:textId="12257561" w:rsidR="000464E3" w:rsidRDefault="000464E3" w:rsidP="00113555">
      <w:pPr>
        <w:pStyle w:val="ListParagraph"/>
        <w:numPr>
          <w:ilvl w:val="0"/>
          <w:numId w:val="16"/>
        </w:numPr>
      </w:pPr>
      <w:r>
        <w:t>W</w:t>
      </w:r>
      <w:r w:rsidR="00F37359">
        <w:t>eakness in the commercial real estate market</w:t>
      </w:r>
      <w:r>
        <w:t xml:space="preserve">; </w:t>
      </w:r>
      <w:r w:rsidR="00F37359">
        <w:t xml:space="preserve">and </w:t>
      </w:r>
    </w:p>
    <w:p w14:paraId="3EDD3AD3" w14:textId="2F3AD89D" w:rsidR="004A75E7" w:rsidRDefault="000464E3" w:rsidP="00113555">
      <w:pPr>
        <w:pStyle w:val="ListParagraph"/>
        <w:numPr>
          <w:ilvl w:val="0"/>
          <w:numId w:val="16"/>
        </w:numPr>
      </w:pPr>
      <w:r>
        <w:t>W</w:t>
      </w:r>
      <w:r w:rsidR="00F37359">
        <w:t xml:space="preserve">all </w:t>
      </w:r>
      <w:r>
        <w:t>S</w:t>
      </w:r>
      <w:r w:rsidR="00F37359">
        <w:t>treet’s exposure to those aforementioned</w:t>
      </w:r>
      <w:r>
        <w:t xml:space="preserve"> higher</w:t>
      </w:r>
      <w:r w:rsidR="00F37359">
        <w:t xml:space="preserve"> interest rates</w:t>
      </w:r>
      <w:r w:rsidR="00FB12F1">
        <w:t>.</w:t>
      </w:r>
    </w:p>
    <w:p w14:paraId="58E966FB" w14:textId="05306065" w:rsidR="00FB12F1" w:rsidRPr="004A75E7" w:rsidRDefault="00FB12F1" w:rsidP="00664AC4">
      <w:pPr>
        <w:spacing w:after="120"/>
      </w:pPr>
      <w:r>
        <w:t xml:space="preserve">The biggest risk to the forecast is the potential for </w:t>
      </w:r>
      <w:r w:rsidRPr="00A82B4E">
        <w:t xml:space="preserve">an overheating national economy </w:t>
      </w:r>
      <w:r w:rsidR="00A617FF" w:rsidRPr="00A82B4E">
        <w:t>resulting in</w:t>
      </w:r>
      <w:r w:rsidRPr="00A82B4E">
        <w:t xml:space="preserve"> higher interest rates.</w:t>
      </w:r>
      <w:r w:rsidRPr="00A82B4E">
        <w:rPr>
          <w:vertAlign w:val="superscript"/>
        </w:rPr>
        <w:footnoteReference w:id="28"/>
      </w:r>
      <w:r w:rsidRPr="00A82B4E">
        <w:t xml:space="preserve"> TCJA</w:t>
      </w:r>
      <w:r w:rsidRPr="001B181A">
        <w:t xml:space="preserve"> tax cuts</w:t>
      </w:r>
      <w:r w:rsidR="00A617FF">
        <w:t xml:space="preserve"> are expected to</w:t>
      </w:r>
      <w:r w:rsidRPr="001B181A">
        <w:t xml:space="preserve"> increase spending by consumers and firms in an economy that is at or near full employment. This raises the risk of inflation. </w:t>
      </w:r>
      <w:r w:rsidR="00A617FF">
        <w:t>The Finance Division’s</w:t>
      </w:r>
      <w:r w:rsidRPr="001B181A">
        <w:t xml:space="preserve"> forecast assumes the Federal Reserve will offset this effect by accelerating the expected increases in the Federal Funds rate. If this is insufficient</w:t>
      </w:r>
      <w:r w:rsidR="00A617FF">
        <w:t>,</w:t>
      </w:r>
      <w:r w:rsidRPr="001B181A">
        <w:t xml:space="preserve"> and inflation </w:t>
      </w:r>
      <w:r w:rsidR="00A617FF">
        <w:t>rises</w:t>
      </w:r>
      <w:r w:rsidRPr="001B181A">
        <w:t xml:space="preserve">, the Federal Reserve may have to </w:t>
      </w:r>
      <w:r w:rsidR="00A617FF">
        <w:t>“</w:t>
      </w:r>
      <w:r w:rsidRPr="001B181A">
        <w:t>step on the brakes</w:t>
      </w:r>
      <w:r w:rsidR="00A617FF">
        <w:t>”</w:t>
      </w:r>
      <w:r w:rsidRPr="001B181A">
        <w:t xml:space="preserve"> by </w:t>
      </w:r>
      <w:r w:rsidR="00A617FF">
        <w:t xml:space="preserve">rapidly </w:t>
      </w:r>
      <w:r w:rsidRPr="001B181A">
        <w:t xml:space="preserve">raising interest rates. </w:t>
      </w:r>
      <w:r w:rsidR="009F3E81">
        <w:t>While t</w:t>
      </w:r>
      <w:r w:rsidRPr="001B181A">
        <w:t>his may slow inflation</w:t>
      </w:r>
      <w:r w:rsidR="009F3E81">
        <w:t>,</w:t>
      </w:r>
      <w:r w:rsidRPr="001B181A">
        <w:t xml:space="preserve"> it will also dampen </w:t>
      </w:r>
      <w:r w:rsidR="009F3E81">
        <w:t xml:space="preserve">economic </w:t>
      </w:r>
      <w:r w:rsidRPr="001B181A">
        <w:t>output and increase unemployment. This is a risk for the l</w:t>
      </w:r>
      <w:r>
        <w:t xml:space="preserve">ater part of the </w:t>
      </w:r>
      <w:r w:rsidR="009F3E81">
        <w:t>F</w:t>
      </w:r>
      <w:r>
        <w:t xml:space="preserve">inancial </w:t>
      </w:r>
      <w:r w:rsidR="009F3E81">
        <w:t>P</w:t>
      </w:r>
      <w:r>
        <w:t>lan</w:t>
      </w:r>
      <w:r w:rsidR="00113555">
        <w:t>.</w:t>
      </w:r>
      <w:r>
        <w:t xml:space="preserve"> </w:t>
      </w:r>
    </w:p>
    <w:p w14:paraId="43ECD548" w14:textId="1060C5A5" w:rsidR="004A75E7" w:rsidRDefault="00FB12F1" w:rsidP="00664AC4">
      <w:pPr>
        <w:spacing w:after="120"/>
      </w:pPr>
      <w:r>
        <w:t>While having recently seen a recent run up in prices,</w:t>
      </w:r>
      <w:r>
        <w:rPr>
          <w:b/>
        </w:rPr>
        <w:t xml:space="preserve"> </w:t>
      </w:r>
      <w:r w:rsidRPr="00A82B4E">
        <w:t>the c</w:t>
      </w:r>
      <w:r w:rsidR="004A75E7" w:rsidRPr="00A82B4E">
        <w:t xml:space="preserve">ommercial </w:t>
      </w:r>
      <w:r w:rsidRPr="00A82B4E">
        <w:t>r</w:t>
      </w:r>
      <w:r w:rsidR="004A75E7" w:rsidRPr="00A82B4E">
        <w:t xml:space="preserve">eal </w:t>
      </w:r>
      <w:r w:rsidRPr="00A82B4E">
        <w:t>e</w:t>
      </w:r>
      <w:r w:rsidR="004A75E7" w:rsidRPr="00A82B4E">
        <w:t xml:space="preserve">state </w:t>
      </w:r>
      <w:r w:rsidRPr="00A82B4E">
        <w:t>m</w:t>
      </w:r>
      <w:r w:rsidR="004A75E7" w:rsidRPr="00A82B4E">
        <w:t>arket</w:t>
      </w:r>
      <w:r w:rsidRPr="00A82B4E">
        <w:t xml:space="preserve"> is showing signs of weakness</w:t>
      </w:r>
      <w:r w:rsidR="004A75E7" w:rsidRPr="00A82B4E">
        <w:t>.</w:t>
      </w:r>
      <w:r w:rsidR="004A75E7" w:rsidRPr="00607F66">
        <w:rPr>
          <w:vertAlign w:val="superscript"/>
        </w:rPr>
        <w:footnoteReference w:id="29"/>
      </w:r>
      <w:r>
        <w:t xml:space="preserve"> This is most</w:t>
      </w:r>
      <w:r w:rsidR="004A75E7" w:rsidRPr="001B181A">
        <w:t xml:space="preserve"> notably</w:t>
      </w:r>
      <w:r>
        <w:t xml:space="preserve"> apparent in</w:t>
      </w:r>
      <w:r w:rsidR="004A75E7" w:rsidRPr="001B181A">
        <w:t xml:space="preserve"> the retail sector, and </w:t>
      </w:r>
      <w:r>
        <w:t xml:space="preserve">there is </w:t>
      </w:r>
      <w:r w:rsidR="009F3E81">
        <w:t>reasonable</w:t>
      </w:r>
      <w:r>
        <w:t xml:space="preserve"> concern that the </w:t>
      </w:r>
      <w:r w:rsidR="004A75E7" w:rsidRPr="001B181A">
        <w:t>rising interest rates</w:t>
      </w:r>
      <w:r w:rsidR="009F3E81">
        <w:t xml:space="preserve"> discussed above</w:t>
      </w:r>
      <w:r w:rsidR="004A75E7" w:rsidRPr="001B181A">
        <w:t xml:space="preserve"> may push prices down. </w:t>
      </w:r>
      <w:r>
        <w:t>Should the market continue to weaken, it</w:t>
      </w:r>
      <w:r w:rsidR="004A75E7" w:rsidRPr="001B181A">
        <w:t xml:space="preserve"> will </w:t>
      </w:r>
      <w:r w:rsidR="009F3E81" w:rsidRPr="001B181A">
        <w:t>reduce</w:t>
      </w:r>
      <w:r w:rsidR="004A75E7" w:rsidRPr="001B181A">
        <w:t xml:space="preserve"> construction, GDP growth, and employment.</w:t>
      </w:r>
    </w:p>
    <w:p w14:paraId="169316D1" w14:textId="51A358D5" w:rsidR="001B181A" w:rsidRPr="001B181A" w:rsidRDefault="001B181A" w:rsidP="00664AC4">
      <w:pPr>
        <w:spacing w:after="120"/>
      </w:pPr>
      <w:r w:rsidRPr="001B181A">
        <w:t>The City’s economic and tax revenue forecasts depend on the national forecast and share</w:t>
      </w:r>
      <w:r w:rsidR="00CF1D12">
        <w:t xml:space="preserve"> the same risks</w:t>
      </w:r>
      <w:r w:rsidRPr="001B181A">
        <w:t>. A</w:t>
      </w:r>
      <w:r w:rsidR="004A75E7">
        <w:t>n additional risk</w:t>
      </w:r>
      <w:r w:rsidR="00CF1D12">
        <w:t xml:space="preserve"> unique to the City</w:t>
      </w:r>
      <w:r w:rsidR="004A75E7">
        <w:t xml:space="preserve"> comes</w:t>
      </w:r>
      <w:r w:rsidR="00CF1D12">
        <w:t xml:space="preserve"> from</w:t>
      </w:r>
      <w:r w:rsidR="004A75E7">
        <w:t xml:space="preserve"> </w:t>
      </w:r>
      <w:r w:rsidRPr="00A82B4E">
        <w:t xml:space="preserve">Wall Street </w:t>
      </w:r>
      <w:r w:rsidR="00F37359" w:rsidRPr="00A82B4E">
        <w:t>b</w:t>
      </w:r>
      <w:r w:rsidRPr="00A82B4E">
        <w:t>anks</w:t>
      </w:r>
      <w:r w:rsidR="00F37359" w:rsidRPr="00A82B4E">
        <w:t>’ e</w:t>
      </w:r>
      <w:r w:rsidR="007034EB" w:rsidRPr="00A82B4E">
        <w:t xml:space="preserve">xposure to </w:t>
      </w:r>
      <w:r w:rsidR="00F37359" w:rsidRPr="00A82B4E">
        <w:t>higher i</w:t>
      </w:r>
      <w:r w:rsidR="007034EB" w:rsidRPr="00A82B4E">
        <w:t xml:space="preserve">nterest </w:t>
      </w:r>
      <w:r w:rsidR="00F37359" w:rsidRPr="00A82B4E">
        <w:t>r</w:t>
      </w:r>
      <w:r w:rsidR="007034EB" w:rsidRPr="00A82B4E">
        <w:t>ates</w:t>
      </w:r>
      <w:r w:rsidRPr="00A82B4E">
        <w:t>.</w:t>
      </w:r>
      <w:r w:rsidRPr="001B181A">
        <w:t xml:space="preserve"> Income from Wall Street remains important to both the City’s economy and</w:t>
      </w:r>
      <w:r w:rsidR="00CF1D12">
        <w:t xml:space="preserve"> its</w:t>
      </w:r>
      <w:r w:rsidRPr="001B181A">
        <w:t xml:space="preserve"> tax revenue. Rising interest </w:t>
      </w:r>
      <w:r w:rsidR="00CF1D12">
        <w:t xml:space="preserve">rates </w:t>
      </w:r>
      <w:r w:rsidRPr="001B181A">
        <w:t xml:space="preserve">decrease the value of existing bonds and may cause losses for the </w:t>
      </w:r>
      <w:r w:rsidRPr="001B181A">
        <w:lastRenderedPageBreak/>
        <w:t>City’s banks.</w:t>
      </w:r>
      <w:r w:rsidRPr="001B181A">
        <w:rPr>
          <w:vertAlign w:val="superscript"/>
        </w:rPr>
        <w:footnoteReference w:id="30"/>
      </w:r>
      <w:r w:rsidRPr="001B181A">
        <w:t xml:space="preserve"> This is especially true if interest rates rise faster than expected. This could impact the real estate market, employment, </w:t>
      </w:r>
      <w:r w:rsidR="00CF1D12">
        <w:t xml:space="preserve">and revenues from the </w:t>
      </w:r>
      <w:r w:rsidRPr="001B181A">
        <w:t>personal income tax, business tax, and transfer tax.</w:t>
      </w:r>
      <w:r w:rsidR="007034EB">
        <w:t xml:space="preserve"> </w:t>
      </w:r>
      <w:r w:rsidRPr="001B181A">
        <w:t>The</w:t>
      </w:r>
      <w:r w:rsidR="00B94004">
        <w:t xml:space="preserve"> uncertainty in the</w:t>
      </w:r>
      <w:r w:rsidRPr="001B181A">
        <w:t xml:space="preserve"> bond market appears to be </w:t>
      </w:r>
      <w:r w:rsidR="00CF1D12" w:rsidRPr="001B181A">
        <w:t>frightening</w:t>
      </w:r>
      <w:r w:rsidRPr="001B181A">
        <w:t xml:space="preserve"> equity investors</w:t>
      </w:r>
      <w:r w:rsidR="00CF1D12">
        <w:t>, as indicated by recent steep declines in the stock market</w:t>
      </w:r>
      <w:r w:rsidRPr="001B181A">
        <w:t>.</w:t>
      </w:r>
      <w:r w:rsidRPr="001B181A">
        <w:rPr>
          <w:vertAlign w:val="superscript"/>
        </w:rPr>
        <w:footnoteReference w:id="31"/>
      </w:r>
      <w:r w:rsidRPr="001B181A">
        <w:t xml:space="preserve"> </w:t>
      </w:r>
    </w:p>
    <w:p w14:paraId="23DF0D38" w14:textId="6A5DB80F" w:rsidR="001B181A" w:rsidRPr="00664AC4" w:rsidRDefault="00732D5B" w:rsidP="00F2473E">
      <w:pPr>
        <w:pStyle w:val="Heading2"/>
        <w:rPr>
          <w:sz w:val="26"/>
        </w:rPr>
      </w:pPr>
      <w:bookmarkStart w:id="19" w:name="_Toc507592279"/>
      <w:r w:rsidRPr="00664AC4">
        <w:rPr>
          <w:sz w:val="26"/>
        </w:rPr>
        <w:t xml:space="preserve">Risks to </w:t>
      </w:r>
      <w:r w:rsidR="001B181A" w:rsidRPr="00664AC4">
        <w:rPr>
          <w:sz w:val="26"/>
        </w:rPr>
        <w:t>Revenue</w:t>
      </w:r>
      <w:r w:rsidR="00794F30" w:rsidRPr="00664AC4">
        <w:rPr>
          <w:sz w:val="26"/>
        </w:rPr>
        <w:t xml:space="preserve"> Forecast</w:t>
      </w:r>
      <w:bookmarkEnd w:id="19"/>
    </w:p>
    <w:p w14:paraId="3F0AE726" w14:textId="06856F05" w:rsidR="001B181A" w:rsidRPr="001B181A" w:rsidRDefault="00F37359" w:rsidP="00664AC4">
      <w:pPr>
        <w:spacing w:after="120"/>
        <w:rPr>
          <w:b/>
        </w:rPr>
      </w:pPr>
      <w:r>
        <w:t>Risks to the revenue forecast</w:t>
      </w:r>
      <w:r w:rsidR="00794F30">
        <w:t xml:space="preserve"> generally</w:t>
      </w:r>
      <w:r>
        <w:t xml:space="preserve"> </w:t>
      </w:r>
      <w:r w:rsidR="00794F30">
        <w:t>follow</w:t>
      </w:r>
      <w:r>
        <w:t xml:space="preserve"> from the risks to the economy</w:t>
      </w:r>
      <w:r w:rsidR="00794F30">
        <w:t>. However, a significant self</w:t>
      </w:r>
      <w:r>
        <w:t>-imposed risk</w:t>
      </w:r>
      <w:r w:rsidR="00794F30">
        <w:t xml:space="preserve"> is the City’s</w:t>
      </w:r>
      <w:r w:rsidRPr="00F37359">
        <w:rPr>
          <w:b/>
        </w:rPr>
        <w:t xml:space="preserve"> </w:t>
      </w:r>
      <w:r w:rsidRPr="00A82B4E">
        <w:t>unrealistic expectation of taxi medallion sale revenues.</w:t>
      </w:r>
      <w:r w:rsidR="00D0669D">
        <w:rPr>
          <w:b/>
          <w:sz w:val="22"/>
        </w:rPr>
        <w:t xml:space="preserve"> </w:t>
      </w:r>
      <w:r w:rsidR="00794F30" w:rsidRPr="00113555">
        <w:t>As in prior years</w:t>
      </w:r>
      <w:r w:rsidR="00794F30">
        <w:t>, t</w:t>
      </w:r>
      <w:r w:rsidR="00D0669D" w:rsidRPr="00D0669D">
        <w:rPr>
          <w:szCs w:val="24"/>
        </w:rPr>
        <w:t xml:space="preserve">he Fiscal 2019 Preliminary Budget contains substantial funds from the sales of taxi medallions. The </w:t>
      </w:r>
      <w:r w:rsidR="00794F30">
        <w:rPr>
          <w:szCs w:val="24"/>
        </w:rPr>
        <w:t>Financial Plan</w:t>
      </w:r>
      <w:r w:rsidR="00D0669D" w:rsidRPr="00D0669D">
        <w:rPr>
          <w:szCs w:val="24"/>
        </w:rPr>
        <w:t xml:space="preserve"> assumes</w:t>
      </w:r>
      <w:r w:rsidR="00794F30">
        <w:rPr>
          <w:szCs w:val="24"/>
        </w:rPr>
        <w:t xml:space="preserve"> sales of</w:t>
      </w:r>
      <w:r w:rsidR="00D0669D" w:rsidRPr="00D0669D">
        <w:rPr>
          <w:szCs w:val="24"/>
        </w:rPr>
        <w:t xml:space="preserve"> $107 million in Fiscal 2019, $257 million in Fiscal 2020</w:t>
      </w:r>
      <w:r w:rsidR="00D0669D">
        <w:rPr>
          <w:szCs w:val="24"/>
        </w:rPr>
        <w:t xml:space="preserve">, </w:t>
      </w:r>
      <w:r w:rsidR="00D0669D" w:rsidRPr="00D0669D">
        <w:rPr>
          <w:szCs w:val="24"/>
        </w:rPr>
        <w:t>$367 million in Fiscal 2021</w:t>
      </w:r>
      <w:r w:rsidR="00D0669D">
        <w:rPr>
          <w:szCs w:val="24"/>
        </w:rPr>
        <w:t xml:space="preserve"> and $198 million in Fiscal 2022</w:t>
      </w:r>
      <w:r w:rsidR="00D0669D" w:rsidRPr="00D0669D">
        <w:rPr>
          <w:szCs w:val="24"/>
        </w:rPr>
        <w:t>. These estimates remain unchanged from</w:t>
      </w:r>
      <w:r w:rsidR="00D0669D">
        <w:rPr>
          <w:szCs w:val="24"/>
        </w:rPr>
        <w:t xml:space="preserve"> the 2017 November Plan</w:t>
      </w:r>
      <w:r w:rsidR="00D0669D" w:rsidRPr="00D0669D">
        <w:rPr>
          <w:szCs w:val="24"/>
        </w:rPr>
        <w:t xml:space="preserve">. Given the continued weakness in the medallion market, it seems </w:t>
      </w:r>
      <w:r w:rsidR="00B413A5">
        <w:rPr>
          <w:szCs w:val="24"/>
        </w:rPr>
        <w:t>un</w:t>
      </w:r>
      <w:r w:rsidR="00D0669D" w:rsidRPr="00D0669D">
        <w:rPr>
          <w:szCs w:val="24"/>
        </w:rPr>
        <w:t>likely that</w:t>
      </w:r>
      <w:r w:rsidR="00D0669D">
        <w:rPr>
          <w:szCs w:val="24"/>
        </w:rPr>
        <w:t xml:space="preserve"> these revenues will be received by the City</w:t>
      </w:r>
      <w:r w:rsidR="00D0669D" w:rsidRPr="00D0669D">
        <w:rPr>
          <w:szCs w:val="24"/>
        </w:rPr>
        <w:t>.</w:t>
      </w:r>
    </w:p>
    <w:p w14:paraId="2052736D" w14:textId="77777777" w:rsidR="001B181A" w:rsidRPr="00664AC4" w:rsidRDefault="001B181A" w:rsidP="00EA71F2">
      <w:pPr>
        <w:pStyle w:val="Heading2"/>
        <w:spacing w:before="360" w:after="120"/>
        <w:rPr>
          <w:sz w:val="26"/>
        </w:rPr>
      </w:pPr>
      <w:bookmarkStart w:id="20" w:name="_Toc507592280"/>
      <w:r w:rsidRPr="00664AC4">
        <w:rPr>
          <w:sz w:val="26"/>
        </w:rPr>
        <w:t>Policy Risks</w:t>
      </w:r>
      <w:bookmarkEnd w:id="20"/>
    </w:p>
    <w:p w14:paraId="1622CF2D" w14:textId="77777777" w:rsidR="001B181A" w:rsidRPr="00605995" w:rsidRDefault="001B181A" w:rsidP="00F2473E">
      <w:pPr>
        <w:pStyle w:val="Heading3"/>
      </w:pPr>
      <w:bookmarkStart w:id="21" w:name="_Toc507592281"/>
      <w:r w:rsidRPr="00605995">
        <w:t>New York State</w:t>
      </w:r>
      <w:bookmarkEnd w:id="21"/>
    </w:p>
    <w:p w14:paraId="5DF55F15" w14:textId="50B55957" w:rsidR="00C7423A" w:rsidRDefault="006211E7" w:rsidP="001B181A">
      <w:r>
        <w:rPr>
          <w:bCs/>
        </w:rPr>
        <w:t>T</w:t>
      </w:r>
      <w:r w:rsidR="00ED09CA">
        <w:rPr>
          <w:bCs/>
        </w:rPr>
        <w:t>he</w:t>
      </w:r>
      <w:r w:rsidR="00C7423A" w:rsidRPr="001B181A">
        <w:t xml:space="preserve"> Fiscal 2018-201</w:t>
      </w:r>
      <w:r w:rsidR="002607A8">
        <w:t>9</w:t>
      </w:r>
      <w:r>
        <w:t xml:space="preserve"> </w:t>
      </w:r>
      <w:r w:rsidR="00ED09CA">
        <w:t xml:space="preserve">New York State </w:t>
      </w:r>
      <w:r w:rsidR="00D90E72">
        <w:t>Executive Budget</w:t>
      </w:r>
      <w:r>
        <w:t xml:space="preserve"> </w:t>
      </w:r>
      <w:r w:rsidR="00C7423A" w:rsidRPr="001B181A">
        <w:t>contains a mix of unfunded mandates, shortfalls in meeting obligations of Campaign for Fiscal Equity funding, and misallocations of federal Disproportiona</w:t>
      </w:r>
      <w:r w:rsidR="00CA2A2A">
        <w:t>te</w:t>
      </w:r>
      <w:r w:rsidR="00C7423A" w:rsidRPr="001B181A">
        <w:t xml:space="preserve"> </w:t>
      </w:r>
      <w:r w:rsidR="00CA2A2A">
        <w:t xml:space="preserve">Share </w:t>
      </w:r>
      <w:r w:rsidR="00C7423A" w:rsidRPr="001B181A">
        <w:t>Hospital Payments</w:t>
      </w:r>
      <w:r w:rsidR="002607A8">
        <w:t>,</w:t>
      </w:r>
      <w:r w:rsidR="00C7423A" w:rsidRPr="001B181A">
        <w:t xml:space="preserve"> </w:t>
      </w:r>
      <w:r w:rsidR="002607A8">
        <w:t>which</w:t>
      </w:r>
      <w:r w:rsidR="00C7423A" w:rsidRPr="001B181A">
        <w:t xml:space="preserve"> could leave the City short</w:t>
      </w:r>
      <w:r w:rsidR="00CA2A2A">
        <w:t xml:space="preserve"> </w:t>
      </w:r>
      <w:r w:rsidR="00C7423A" w:rsidRPr="001B181A">
        <w:t>million</w:t>
      </w:r>
      <w:r w:rsidR="00CA2A2A">
        <w:t>s</w:t>
      </w:r>
      <w:r w:rsidR="00C7423A" w:rsidRPr="001B181A">
        <w:t xml:space="preserve"> compared to the expectations in the </w:t>
      </w:r>
      <w:r w:rsidR="002607A8">
        <w:t xml:space="preserve">City’s </w:t>
      </w:r>
      <w:r w:rsidR="00C7423A" w:rsidRPr="001B181A">
        <w:t>Fiscal 2018 Preliminary Budget.</w:t>
      </w:r>
      <w:r w:rsidR="00C7423A" w:rsidRPr="001B181A">
        <w:rPr>
          <w:vertAlign w:val="superscript"/>
        </w:rPr>
        <w:footnoteReference w:id="32"/>
      </w:r>
      <w:r w:rsidR="00C7423A" w:rsidRPr="001B181A">
        <w:t xml:space="preserve">  </w:t>
      </w:r>
    </w:p>
    <w:p w14:paraId="5072BC20" w14:textId="42E3F60E" w:rsidR="001B181A" w:rsidRPr="001B181A" w:rsidRDefault="0047701D" w:rsidP="00664AC4">
      <w:pPr>
        <w:spacing w:before="120" w:after="120"/>
      </w:pPr>
      <w:r>
        <w:t>In addition to the above</w:t>
      </w:r>
      <w:r w:rsidR="00B413A5">
        <w:t xml:space="preserve"> risks</w:t>
      </w:r>
      <w:r>
        <w:t>, there are two significant</w:t>
      </w:r>
      <w:r w:rsidR="002607A8">
        <w:t xml:space="preserve"> state</w:t>
      </w:r>
      <w:r>
        <w:t xml:space="preserve"> risks to </w:t>
      </w:r>
      <w:r w:rsidR="002607A8">
        <w:t xml:space="preserve">the </w:t>
      </w:r>
      <w:r>
        <w:t>City</w:t>
      </w:r>
      <w:r w:rsidR="002607A8">
        <w:t>’s</w:t>
      </w:r>
      <w:r>
        <w:t xml:space="preserve"> tax revenues</w:t>
      </w:r>
      <w:r w:rsidR="00B214AC">
        <w:t>:</w:t>
      </w:r>
      <w:r w:rsidR="00C7423A">
        <w:t xml:space="preserve">  </w:t>
      </w:r>
      <w:r w:rsidR="00C7423A" w:rsidRPr="001B181A">
        <w:t xml:space="preserve"> </w:t>
      </w:r>
    </w:p>
    <w:p w14:paraId="38CDBAC8" w14:textId="30D61D39" w:rsidR="001B181A" w:rsidRDefault="001B181A" w:rsidP="00664AC4">
      <w:pPr>
        <w:numPr>
          <w:ilvl w:val="0"/>
          <w:numId w:val="9"/>
        </w:numPr>
        <w:spacing w:before="120" w:after="120"/>
        <w:rPr>
          <w:bCs/>
        </w:rPr>
      </w:pPr>
      <w:r w:rsidRPr="001B181A">
        <w:rPr>
          <w:b/>
          <w:bCs/>
        </w:rPr>
        <w:t>MTA Value Capture.</w:t>
      </w:r>
      <w:r w:rsidRPr="001B181A">
        <w:rPr>
          <w:bCs/>
        </w:rPr>
        <w:t xml:space="preserve"> A provision in the Executive Budget would allow the</w:t>
      </w:r>
      <w:r w:rsidR="00B214AC">
        <w:rPr>
          <w:bCs/>
        </w:rPr>
        <w:t xml:space="preserve"> Metropolitan Transportation Authority</w:t>
      </w:r>
      <w:r w:rsidRPr="001B181A">
        <w:rPr>
          <w:bCs/>
        </w:rPr>
        <w:t xml:space="preserve"> </w:t>
      </w:r>
      <w:r w:rsidR="00B214AC">
        <w:rPr>
          <w:bCs/>
        </w:rPr>
        <w:t>(</w:t>
      </w:r>
      <w:r w:rsidRPr="001B181A">
        <w:rPr>
          <w:bCs/>
        </w:rPr>
        <w:t>MTA</w:t>
      </w:r>
      <w:r w:rsidR="00B214AC">
        <w:rPr>
          <w:bCs/>
        </w:rPr>
        <w:t>)</w:t>
      </w:r>
      <w:r w:rsidRPr="001B181A">
        <w:rPr>
          <w:bCs/>
        </w:rPr>
        <w:t xml:space="preserve"> to capture up to 75 percent of new revenue from increased real estate tax receipts within one</w:t>
      </w:r>
      <w:r w:rsidR="00B214AC">
        <w:rPr>
          <w:bCs/>
        </w:rPr>
        <w:t xml:space="preserve"> </w:t>
      </w:r>
      <w:r w:rsidRPr="001B181A">
        <w:rPr>
          <w:bCs/>
        </w:rPr>
        <w:t>mile of large MTA capital projects. MTA would be collecting property taxes on New York City’s core business district</w:t>
      </w:r>
      <w:r w:rsidR="00B214AC">
        <w:rPr>
          <w:bCs/>
        </w:rPr>
        <w:t xml:space="preserve"> in Midtown</w:t>
      </w:r>
      <w:r w:rsidRPr="001B181A">
        <w:rPr>
          <w:bCs/>
        </w:rPr>
        <w:t>,</w:t>
      </w:r>
      <w:r w:rsidR="00B214AC">
        <w:rPr>
          <w:bCs/>
        </w:rPr>
        <w:t xml:space="preserve"> as well as</w:t>
      </w:r>
      <w:r w:rsidRPr="001B181A">
        <w:rPr>
          <w:bCs/>
        </w:rPr>
        <w:t xml:space="preserve"> the Upper East</w:t>
      </w:r>
      <w:r w:rsidR="00B214AC">
        <w:rPr>
          <w:bCs/>
        </w:rPr>
        <w:t xml:space="preserve"> and Upper West</w:t>
      </w:r>
      <w:r w:rsidRPr="001B181A">
        <w:rPr>
          <w:bCs/>
        </w:rPr>
        <w:t xml:space="preserve"> Side</w:t>
      </w:r>
      <w:r w:rsidR="00B214AC">
        <w:rPr>
          <w:bCs/>
        </w:rPr>
        <w:t>s</w:t>
      </w:r>
      <w:r w:rsidRPr="001B181A">
        <w:rPr>
          <w:bCs/>
        </w:rPr>
        <w:t>. The proposal includes existing projects and property taxes already a</w:t>
      </w:r>
      <w:r w:rsidR="00B214AC">
        <w:rPr>
          <w:bCs/>
        </w:rPr>
        <w:t>ccounted for in</w:t>
      </w:r>
      <w:r w:rsidRPr="001B181A">
        <w:rPr>
          <w:bCs/>
        </w:rPr>
        <w:t xml:space="preserve"> the City’s </w:t>
      </w:r>
      <w:r w:rsidR="00B214AC">
        <w:rPr>
          <w:bCs/>
        </w:rPr>
        <w:t>F</w:t>
      </w:r>
      <w:r w:rsidRPr="001B181A">
        <w:rPr>
          <w:bCs/>
        </w:rPr>
        <w:t xml:space="preserve">inancial </w:t>
      </w:r>
      <w:r w:rsidR="00B214AC">
        <w:rPr>
          <w:bCs/>
        </w:rPr>
        <w:t>P</w:t>
      </w:r>
      <w:r w:rsidRPr="001B181A">
        <w:rPr>
          <w:bCs/>
        </w:rPr>
        <w:t>lan.</w:t>
      </w:r>
    </w:p>
    <w:p w14:paraId="355C03FC" w14:textId="22BCB53B" w:rsidR="004A75E7" w:rsidRPr="001B181A" w:rsidRDefault="004A75E7" w:rsidP="00664AC4">
      <w:pPr>
        <w:numPr>
          <w:ilvl w:val="0"/>
          <w:numId w:val="9"/>
        </w:numPr>
        <w:spacing w:before="120" w:after="120"/>
      </w:pPr>
      <w:r w:rsidRPr="001B181A">
        <w:rPr>
          <w:b/>
        </w:rPr>
        <w:t>Independent Democratic Conference’s Rider Relief Plan</w:t>
      </w:r>
      <w:r w:rsidR="008064D1">
        <w:rPr>
          <w:b/>
        </w:rPr>
        <w:t xml:space="preserve">. </w:t>
      </w:r>
      <w:r w:rsidR="008064D1" w:rsidRPr="00607F66">
        <w:t>A bill introduced in the State Senate,</w:t>
      </w:r>
      <w:r w:rsidR="00F37359" w:rsidRPr="00607F66">
        <w:t xml:space="preserve"> S.7658</w:t>
      </w:r>
      <w:r w:rsidR="008064D1" w:rsidRPr="00607F66">
        <w:t>,</w:t>
      </w:r>
      <w:r w:rsidRPr="001B181A">
        <w:t xml:space="preserve"> would divert $428 million of New York City sales tax revenue to fund Phase 1 of the MTA's emergency repair plan.</w:t>
      </w:r>
    </w:p>
    <w:p w14:paraId="78C500E2" w14:textId="6EDDC1FF" w:rsidR="001B181A" w:rsidRPr="001741AB" w:rsidRDefault="001B181A" w:rsidP="00F2473E">
      <w:pPr>
        <w:pStyle w:val="Heading3"/>
      </w:pPr>
      <w:bookmarkStart w:id="22" w:name="_Toc507592282"/>
      <w:r w:rsidRPr="001741AB">
        <w:t>Federal</w:t>
      </w:r>
      <w:r w:rsidR="001216F5" w:rsidRPr="001741AB">
        <w:t xml:space="preserve"> Government</w:t>
      </w:r>
      <w:bookmarkEnd w:id="22"/>
    </w:p>
    <w:p w14:paraId="346CA053" w14:textId="34C5E8A9" w:rsidR="001B181A" w:rsidRDefault="000A52F9" w:rsidP="000A52F9">
      <w:r>
        <w:t>A positive step</w:t>
      </w:r>
      <w:r w:rsidR="007061F7">
        <w:t xml:space="preserve"> on the federal level</w:t>
      </w:r>
      <w:r>
        <w:t xml:space="preserve"> is that the </w:t>
      </w:r>
      <w:r w:rsidR="001B181A" w:rsidRPr="00A82B4E">
        <w:t>Bipartisan Budget Act of 2018</w:t>
      </w:r>
      <w:r w:rsidRPr="00A82B4E">
        <w:t xml:space="preserve"> </w:t>
      </w:r>
      <w:r w:rsidR="001B181A" w:rsidRPr="00A82B4E">
        <w:t>increases the cap on non-defense discretionary spending</w:t>
      </w:r>
      <w:r w:rsidR="001B181A" w:rsidRPr="001B181A">
        <w:t xml:space="preserve"> by $63 billion in </w:t>
      </w:r>
      <w:r w:rsidR="007061F7">
        <w:t>f</w:t>
      </w:r>
      <w:r w:rsidR="001B181A" w:rsidRPr="001B181A">
        <w:t xml:space="preserve">ederal Fiscal 2018 and $68 billion in </w:t>
      </w:r>
      <w:r w:rsidR="007061F7">
        <w:t>f</w:t>
      </w:r>
      <w:r w:rsidR="001B181A" w:rsidRPr="001B181A">
        <w:t xml:space="preserve">ederal Fiscal 2019. It also extends direct spending on several health programs, provides a few narrow </w:t>
      </w:r>
      <w:r w:rsidR="001B181A" w:rsidRPr="001B181A">
        <w:lastRenderedPageBreak/>
        <w:t>tax breaks</w:t>
      </w:r>
      <w:r w:rsidR="007061F7">
        <w:t>,</w:t>
      </w:r>
      <w:r w:rsidR="001B181A" w:rsidRPr="001B181A">
        <w:t xml:space="preserve"> and raises the cap</w:t>
      </w:r>
      <w:r w:rsidR="007061F7">
        <w:t xml:space="preserve"> on non-defense appropriations</w:t>
      </w:r>
      <w:r w:rsidR="001B181A" w:rsidRPr="001B181A">
        <w:t>. However, adjusted for inflation, th</w:t>
      </w:r>
      <w:r w:rsidR="007061F7">
        <w:t>is</w:t>
      </w:r>
      <w:r w:rsidR="001B181A" w:rsidRPr="001B181A">
        <w:t xml:space="preserve"> new cap</w:t>
      </w:r>
      <w:r w:rsidR="007061F7">
        <w:t xml:space="preserve"> </w:t>
      </w:r>
      <w:r w:rsidR="001B181A" w:rsidRPr="001B181A">
        <w:t>in 2018 would still be 5.3 percent below the comparable 2010 level.</w:t>
      </w:r>
      <w:r w:rsidR="001B181A" w:rsidRPr="001B181A">
        <w:rPr>
          <w:vertAlign w:val="superscript"/>
        </w:rPr>
        <w:footnoteReference w:id="33"/>
      </w:r>
      <w:r w:rsidR="001B181A" w:rsidRPr="001B181A">
        <w:t xml:space="preserve"> </w:t>
      </w:r>
    </w:p>
    <w:p w14:paraId="464F5F6D" w14:textId="681F77CF" w:rsidR="001B181A" w:rsidRPr="001B181A" w:rsidRDefault="001B181A" w:rsidP="00061E5C">
      <w:pPr>
        <w:spacing w:before="120" w:after="120"/>
      </w:pPr>
      <w:r w:rsidRPr="001B181A">
        <w:t xml:space="preserve">Despite this, risks to </w:t>
      </w:r>
      <w:r w:rsidR="00965892">
        <w:t>f</w:t>
      </w:r>
      <w:r w:rsidRPr="001B181A">
        <w:t>ederal aid remain substantial, especially in the out</w:t>
      </w:r>
      <w:r w:rsidR="00113555">
        <w:t>years of the Financial Plan.</w:t>
      </w:r>
      <w:r w:rsidRPr="001B181A">
        <w:t xml:space="preserve"> </w:t>
      </w:r>
    </w:p>
    <w:p w14:paraId="6E0CB92E" w14:textId="5350F3CF" w:rsidR="001B181A" w:rsidRPr="001B181A" w:rsidRDefault="000A52F9" w:rsidP="001B181A">
      <w:r>
        <w:t xml:space="preserve">The </w:t>
      </w:r>
      <w:r w:rsidR="001B181A" w:rsidRPr="00A82B4E">
        <w:t>Fiscal 2019 Executive Budget of the United States</w:t>
      </w:r>
      <w:r w:rsidRPr="00A82B4E">
        <w:t xml:space="preserve"> includes major cuts,</w:t>
      </w:r>
      <w:r>
        <w:t xml:space="preserve"> while at the same time</w:t>
      </w:r>
      <w:r w:rsidR="001B181A" w:rsidRPr="001B181A">
        <w:t xml:space="preserve"> reluctantly accept</w:t>
      </w:r>
      <w:r>
        <w:t>ing</w:t>
      </w:r>
      <w:r w:rsidR="001B181A" w:rsidRPr="001B181A">
        <w:t xml:space="preserve"> the spending increases of the Bipartisan Budget Act. Its priorities fit in with the general pattern of the Trump Administration, </w:t>
      </w:r>
      <w:r w:rsidR="00965892">
        <w:t xml:space="preserve">focusing on </w:t>
      </w:r>
      <w:r w:rsidR="001B181A" w:rsidRPr="001B181A">
        <w:t>tax cuts for the wealthy and benefit cuts for working families and the poor. Two example</w:t>
      </w:r>
      <w:r w:rsidR="00965892">
        <w:t xml:space="preserve">s that would have a substantial impact on the </w:t>
      </w:r>
      <w:r w:rsidR="00FF69DB">
        <w:t>C</w:t>
      </w:r>
      <w:r w:rsidR="00965892">
        <w:t>ity</w:t>
      </w:r>
      <w:r w:rsidR="001B181A" w:rsidRPr="001B181A">
        <w:t xml:space="preserve"> </w:t>
      </w:r>
      <w:r w:rsidR="00965892">
        <w:t>include</w:t>
      </w:r>
      <w:r w:rsidR="001B181A" w:rsidRPr="001B181A">
        <w:t>:</w:t>
      </w:r>
    </w:p>
    <w:p w14:paraId="7928F8B8" w14:textId="3F4C9B0C" w:rsidR="001B181A" w:rsidRPr="001B181A" w:rsidRDefault="00F971F1" w:rsidP="00061E5C">
      <w:pPr>
        <w:numPr>
          <w:ilvl w:val="0"/>
          <w:numId w:val="10"/>
        </w:numPr>
        <w:tabs>
          <w:tab w:val="left" w:pos="1440"/>
        </w:tabs>
        <w:spacing w:before="120" w:after="120"/>
      </w:pPr>
      <w:r>
        <w:rPr>
          <w:b/>
        </w:rPr>
        <w:t>Funding for the New York City Housing Authority</w:t>
      </w:r>
      <w:r w:rsidR="001B181A" w:rsidRPr="001B181A">
        <w:rPr>
          <w:b/>
        </w:rPr>
        <w:t xml:space="preserve"> </w:t>
      </w:r>
      <w:r>
        <w:rPr>
          <w:b/>
        </w:rPr>
        <w:t>(</w:t>
      </w:r>
      <w:r w:rsidR="001B181A" w:rsidRPr="001B181A">
        <w:rPr>
          <w:b/>
        </w:rPr>
        <w:t>NYCHA</w:t>
      </w:r>
      <w:r>
        <w:rPr>
          <w:b/>
        </w:rPr>
        <w:t>)</w:t>
      </w:r>
      <w:r w:rsidR="001B181A" w:rsidRPr="001B181A">
        <w:rPr>
          <w:b/>
        </w:rPr>
        <w:t>.</w:t>
      </w:r>
      <w:r w:rsidR="001B181A" w:rsidRPr="001B181A">
        <w:t xml:space="preserve"> The Executive Budget proposes a 14 percent reduction in the budget of </w:t>
      </w:r>
      <w:r w:rsidR="00480DD8">
        <w:t xml:space="preserve">the Department of </w:t>
      </w:r>
      <w:r w:rsidR="001B181A" w:rsidRPr="001B181A">
        <w:t>Housing and Urban Development</w:t>
      </w:r>
      <w:r w:rsidR="00480DD8">
        <w:t>,</w:t>
      </w:r>
      <w:r w:rsidR="001B181A" w:rsidRPr="001B181A">
        <w:t xml:space="preserve"> including major reductions in Section 8 vouchers and funding for public housing programs. NYCHA believes this could result in a loss of $346 million in capital funding, approximately $330 to $466 million in operating funds</w:t>
      </w:r>
      <w:r w:rsidR="00480DD8">
        <w:t>,</w:t>
      </w:r>
      <w:r w:rsidR="001B181A" w:rsidRPr="001B181A">
        <w:t xml:space="preserve"> and 9,853 vouchers</w:t>
      </w:r>
      <w:r w:rsidR="00480DD8">
        <w:t>,</w:t>
      </w:r>
      <w:r w:rsidR="001B181A" w:rsidRPr="001B181A">
        <w:t xml:space="preserve"> resulting in a $124 million budget shortfall.</w:t>
      </w:r>
      <w:r w:rsidR="001B181A" w:rsidRPr="001B181A">
        <w:rPr>
          <w:vertAlign w:val="superscript"/>
        </w:rPr>
        <w:footnoteReference w:id="34"/>
      </w:r>
    </w:p>
    <w:p w14:paraId="33DA90F9" w14:textId="312A44C0" w:rsidR="001B181A" w:rsidRPr="001B181A" w:rsidRDefault="001B181A" w:rsidP="00061E5C">
      <w:pPr>
        <w:numPr>
          <w:ilvl w:val="0"/>
          <w:numId w:val="10"/>
        </w:numPr>
        <w:tabs>
          <w:tab w:val="left" w:pos="1440"/>
        </w:tabs>
        <w:spacing w:before="120" w:after="120"/>
      </w:pPr>
      <w:r w:rsidRPr="001B181A">
        <w:rPr>
          <w:b/>
        </w:rPr>
        <w:t xml:space="preserve">Social Service Block Grants (SSBG). </w:t>
      </w:r>
      <w:r w:rsidRPr="001B181A">
        <w:t>The</w:t>
      </w:r>
      <w:r w:rsidR="00480DD8">
        <w:t xml:space="preserve"> President’s</w:t>
      </w:r>
      <w:r w:rsidRPr="001B181A">
        <w:t xml:space="preserve"> Executive Budget eliminates these </w:t>
      </w:r>
      <w:r w:rsidR="00480DD8" w:rsidRPr="001B181A">
        <w:t>grants, which</w:t>
      </w:r>
      <w:r w:rsidRPr="001B181A">
        <w:t xml:space="preserve"> provide funding </w:t>
      </w:r>
      <w:r w:rsidR="00480DD8">
        <w:t>for</w:t>
      </w:r>
      <w:r w:rsidRPr="001B181A">
        <w:t xml:space="preserve"> services such as childcare, day programs for seniors, and services for the homeless.</w:t>
      </w:r>
    </w:p>
    <w:p w14:paraId="6F0BA337" w14:textId="7617CD48" w:rsidR="001B181A" w:rsidRDefault="00480DD8" w:rsidP="001B181A">
      <w:r>
        <w:t xml:space="preserve">As evidenced by the Bipartisan Budget Act, done with minimal input from the Executive Branch, </w:t>
      </w:r>
      <w:r w:rsidR="001B181A" w:rsidRPr="001B181A">
        <w:t>Congress dominates the budget process.</w:t>
      </w:r>
      <w:r w:rsidR="001B181A" w:rsidRPr="001B181A">
        <w:rPr>
          <w:vertAlign w:val="superscript"/>
        </w:rPr>
        <w:footnoteReference w:id="35"/>
      </w:r>
      <w:r w:rsidR="001B181A" w:rsidRPr="001B181A">
        <w:t xml:space="preserve"> </w:t>
      </w:r>
      <w:r>
        <w:t>Thus</w:t>
      </w:r>
      <w:r w:rsidR="001B181A" w:rsidRPr="001B181A">
        <w:t xml:space="preserve">, the Executive Budget is </w:t>
      </w:r>
      <w:r>
        <w:t>highly unlikely to be enacted as proposed</w:t>
      </w:r>
      <w:r w:rsidR="001B181A" w:rsidRPr="001B181A">
        <w:t>,</w:t>
      </w:r>
      <w:r>
        <w:t xml:space="preserve"> although</w:t>
      </w:r>
      <w:r w:rsidR="001B181A" w:rsidRPr="001B181A">
        <w:t xml:space="preserve"> </w:t>
      </w:r>
      <w:r>
        <w:t>the priorities it reflects remain prevalent in Washington, and therefore may be reflected</w:t>
      </w:r>
      <w:r w:rsidR="00113555">
        <w:t xml:space="preserve"> </w:t>
      </w:r>
      <w:r w:rsidR="001B181A" w:rsidRPr="001B181A">
        <w:t>in future budget legislation. The</w:t>
      </w:r>
      <w:r>
        <w:t>se federal priorities remain</w:t>
      </w:r>
      <w:r w:rsidR="001B181A" w:rsidRPr="001B181A">
        <w:t xml:space="preserve"> a risk to</w:t>
      </w:r>
      <w:r>
        <w:t xml:space="preserve"> both</w:t>
      </w:r>
      <w:r w:rsidR="001B181A" w:rsidRPr="001B181A">
        <w:t xml:space="preserve"> the City’s budget and to the wellbeing of the</w:t>
      </w:r>
      <w:r>
        <w:t xml:space="preserve"> city’s residents</w:t>
      </w:r>
      <w:r w:rsidR="001B181A" w:rsidRPr="001B181A">
        <w:t>. Th</w:t>
      </w:r>
      <w:r>
        <w:t>e federal risk will only become</w:t>
      </w:r>
      <w:r w:rsidR="001B181A" w:rsidRPr="001B181A">
        <w:t xml:space="preserve"> more important in the outyears of the City’s </w:t>
      </w:r>
      <w:r>
        <w:t>F</w:t>
      </w:r>
      <w:r w:rsidR="001B181A" w:rsidRPr="001B181A">
        <w:t xml:space="preserve">inancial </w:t>
      </w:r>
      <w:r>
        <w:t>P</w:t>
      </w:r>
      <w:r w:rsidR="001B181A" w:rsidRPr="001B181A">
        <w:t xml:space="preserve">lan </w:t>
      </w:r>
      <w:r>
        <w:t>as</w:t>
      </w:r>
      <w:r w:rsidR="001B181A" w:rsidRPr="001B181A">
        <w:t xml:space="preserve"> deficits from the TCJA</w:t>
      </w:r>
      <w:r w:rsidR="00983A49">
        <w:t>, and their resulting impacts,</w:t>
      </w:r>
      <w:r>
        <w:t xml:space="preserve"> are realized</w:t>
      </w:r>
      <w:r w:rsidR="001B181A" w:rsidRPr="001B181A">
        <w:t>.</w:t>
      </w:r>
    </w:p>
    <w:p w14:paraId="300AD64F" w14:textId="6372D5BB" w:rsidR="00E267CB" w:rsidRDefault="00E267CB">
      <w:r>
        <w:br w:type="page"/>
      </w:r>
    </w:p>
    <w:p w14:paraId="762B1E32" w14:textId="77F07C1F" w:rsidR="00E267CB" w:rsidRDefault="00E267CB" w:rsidP="00061E5C">
      <w:pPr>
        <w:pStyle w:val="Heading1"/>
        <w:spacing w:after="120"/>
      </w:pPr>
      <w:bookmarkStart w:id="23" w:name="_Toc507592283"/>
      <w:r w:rsidRPr="00FF69DB">
        <w:lastRenderedPageBreak/>
        <w:t>Appendi</w:t>
      </w:r>
      <w:r w:rsidR="0030291D">
        <w:t>ces</w:t>
      </w:r>
      <w:bookmarkEnd w:id="23"/>
    </w:p>
    <w:p w14:paraId="32D493B4" w14:textId="4196E293" w:rsidR="000054D2" w:rsidRPr="000054D2" w:rsidRDefault="000054D2" w:rsidP="000054D2">
      <w:pPr>
        <w:pStyle w:val="Heading2"/>
      </w:pPr>
      <w:bookmarkStart w:id="24" w:name="_Toc507592284"/>
      <w:r>
        <w:t>Tax Revenue Levels</w:t>
      </w:r>
      <w:bookmarkEnd w:id="24"/>
    </w:p>
    <w:tbl>
      <w:tblPr>
        <w:tblW w:w="9479" w:type="dxa"/>
        <w:tblLook w:val="04A0" w:firstRow="1" w:lastRow="0" w:firstColumn="1" w:lastColumn="0" w:noHBand="0" w:noVBand="1"/>
      </w:tblPr>
      <w:tblGrid>
        <w:gridCol w:w="2811"/>
        <w:gridCol w:w="1132"/>
        <w:gridCol w:w="1132"/>
        <w:gridCol w:w="1132"/>
        <w:gridCol w:w="1198"/>
        <w:gridCol w:w="1037"/>
        <w:gridCol w:w="1037"/>
      </w:tblGrid>
      <w:tr w:rsidR="002E0925" w:rsidRPr="002E0925" w14:paraId="74D691C0" w14:textId="77777777" w:rsidTr="00061E5C">
        <w:trPr>
          <w:trHeight w:val="20"/>
        </w:trPr>
        <w:tc>
          <w:tcPr>
            <w:tcW w:w="9479" w:type="dxa"/>
            <w:gridSpan w:val="7"/>
            <w:tcBorders>
              <w:top w:val="single" w:sz="8" w:space="0" w:color="auto"/>
              <w:left w:val="nil"/>
              <w:bottom w:val="nil"/>
              <w:right w:val="nil"/>
            </w:tcBorders>
            <w:shd w:val="clear" w:color="auto" w:fill="auto"/>
            <w:noWrap/>
            <w:vAlign w:val="bottom"/>
            <w:hideMark/>
          </w:tcPr>
          <w:p w14:paraId="36339B38" w14:textId="6D4349DC"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b/>
                <w:bCs/>
                <w:color w:val="000000"/>
                <w:sz w:val="20"/>
                <w:szCs w:val="20"/>
              </w:rPr>
              <w:t>New York City Council Finance Division - Tax Revenue Levels</w:t>
            </w:r>
            <w:r w:rsidRPr="002E0925">
              <w:rPr>
                <w:rFonts w:ascii="Calibri" w:eastAsia="Times New Roman" w:hAnsi="Calibri" w:cs="Times New Roman"/>
                <w:color w:val="000000"/>
                <w:sz w:val="20"/>
                <w:szCs w:val="20"/>
              </w:rPr>
              <w:t> </w:t>
            </w:r>
          </w:p>
        </w:tc>
      </w:tr>
      <w:tr w:rsidR="002E0925" w:rsidRPr="002E0925" w14:paraId="005D5530" w14:textId="77777777" w:rsidTr="00061E5C">
        <w:trPr>
          <w:trHeight w:val="20"/>
        </w:trPr>
        <w:tc>
          <w:tcPr>
            <w:tcW w:w="9479" w:type="dxa"/>
            <w:gridSpan w:val="7"/>
            <w:tcBorders>
              <w:top w:val="nil"/>
              <w:left w:val="nil"/>
              <w:bottom w:val="single" w:sz="4" w:space="0" w:color="auto"/>
              <w:right w:val="nil"/>
            </w:tcBorders>
            <w:shd w:val="clear" w:color="auto" w:fill="auto"/>
            <w:vAlign w:val="bottom"/>
            <w:hideMark/>
          </w:tcPr>
          <w:p w14:paraId="66A26DDB" w14:textId="470EE4E0" w:rsidR="002E0925" w:rsidRPr="002E0925" w:rsidRDefault="002E0925" w:rsidP="002E0925">
            <w:pPr>
              <w:spacing w:after="0"/>
              <w:jc w:val="lef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Council Forecast</w:t>
            </w:r>
            <w:r w:rsidRPr="002E0925">
              <w:rPr>
                <w:rFonts w:ascii="Calibri" w:eastAsia="Times New Roman" w:hAnsi="Calibri" w:cs="Times New Roman"/>
                <w:b/>
                <w:bCs/>
                <w:color w:val="000000"/>
                <w:sz w:val="20"/>
                <w:szCs w:val="20"/>
              </w:rPr>
              <w:br/>
            </w:r>
            <w:r w:rsidRPr="002E0925">
              <w:rPr>
                <w:rFonts w:ascii="Calibri" w:eastAsia="Times New Roman" w:hAnsi="Calibri" w:cs="Times New Roman"/>
                <w:i/>
                <w:iCs/>
                <w:color w:val="000000"/>
                <w:sz w:val="20"/>
                <w:szCs w:val="20"/>
              </w:rPr>
              <w:t>Dollars in Millions</w:t>
            </w:r>
          </w:p>
        </w:tc>
      </w:tr>
      <w:tr w:rsidR="002E0925" w:rsidRPr="002E0925" w14:paraId="100995D0" w14:textId="77777777" w:rsidTr="00061E5C">
        <w:trPr>
          <w:trHeight w:val="20"/>
        </w:trPr>
        <w:tc>
          <w:tcPr>
            <w:tcW w:w="2811" w:type="dxa"/>
            <w:tcBorders>
              <w:top w:val="nil"/>
              <w:left w:val="nil"/>
              <w:bottom w:val="single" w:sz="4" w:space="0" w:color="auto"/>
              <w:right w:val="nil"/>
            </w:tcBorders>
            <w:shd w:val="clear" w:color="auto" w:fill="auto"/>
            <w:vAlign w:val="bottom"/>
            <w:hideMark/>
          </w:tcPr>
          <w:p w14:paraId="1799B1C3"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w:t>
            </w:r>
          </w:p>
        </w:tc>
        <w:tc>
          <w:tcPr>
            <w:tcW w:w="1132" w:type="dxa"/>
            <w:tcBorders>
              <w:top w:val="nil"/>
              <w:left w:val="nil"/>
              <w:bottom w:val="single" w:sz="4" w:space="0" w:color="auto"/>
              <w:right w:val="nil"/>
            </w:tcBorders>
            <w:shd w:val="clear" w:color="auto" w:fill="auto"/>
            <w:vAlign w:val="bottom"/>
            <w:hideMark/>
          </w:tcPr>
          <w:p w14:paraId="7E453677" w14:textId="77777777" w:rsidR="002E0925" w:rsidRPr="002E0925" w:rsidRDefault="002E0925" w:rsidP="002E0925">
            <w:pPr>
              <w:spacing w:after="0"/>
              <w:jc w:val="center"/>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FY17*</w:t>
            </w:r>
          </w:p>
        </w:tc>
        <w:tc>
          <w:tcPr>
            <w:tcW w:w="1132" w:type="dxa"/>
            <w:tcBorders>
              <w:top w:val="nil"/>
              <w:left w:val="nil"/>
              <w:bottom w:val="single" w:sz="4" w:space="0" w:color="auto"/>
              <w:right w:val="nil"/>
            </w:tcBorders>
            <w:shd w:val="clear" w:color="auto" w:fill="auto"/>
            <w:vAlign w:val="bottom"/>
            <w:hideMark/>
          </w:tcPr>
          <w:p w14:paraId="40477D61" w14:textId="77777777" w:rsidR="002E0925" w:rsidRPr="002E0925" w:rsidRDefault="002E0925" w:rsidP="002E0925">
            <w:pPr>
              <w:spacing w:after="0"/>
              <w:jc w:val="center"/>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FY18</w:t>
            </w:r>
          </w:p>
        </w:tc>
        <w:tc>
          <w:tcPr>
            <w:tcW w:w="1132" w:type="dxa"/>
            <w:tcBorders>
              <w:top w:val="nil"/>
              <w:left w:val="nil"/>
              <w:bottom w:val="single" w:sz="4" w:space="0" w:color="auto"/>
              <w:right w:val="nil"/>
            </w:tcBorders>
            <w:shd w:val="clear" w:color="auto" w:fill="auto"/>
            <w:vAlign w:val="bottom"/>
            <w:hideMark/>
          </w:tcPr>
          <w:p w14:paraId="11A1D1ED" w14:textId="77777777" w:rsidR="002E0925" w:rsidRPr="002E0925" w:rsidRDefault="002E0925" w:rsidP="002E0925">
            <w:pPr>
              <w:spacing w:after="0"/>
              <w:jc w:val="center"/>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FY19</w:t>
            </w:r>
          </w:p>
        </w:tc>
        <w:tc>
          <w:tcPr>
            <w:tcW w:w="1198" w:type="dxa"/>
            <w:tcBorders>
              <w:top w:val="nil"/>
              <w:left w:val="nil"/>
              <w:bottom w:val="single" w:sz="4" w:space="0" w:color="auto"/>
              <w:right w:val="nil"/>
            </w:tcBorders>
            <w:shd w:val="clear" w:color="auto" w:fill="auto"/>
            <w:vAlign w:val="bottom"/>
            <w:hideMark/>
          </w:tcPr>
          <w:p w14:paraId="07FF22DB" w14:textId="77777777" w:rsidR="002E0925" w:rsidRPr="002E0925" w:rsidRDefault="002E0925" w:rsidP="002E0925">
            <w:pPr>
              <w:spacing w:after="0"/>
              <w:jc w:val="center"/>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FY20</w:t>
            </w:r>
          </w:p>
        </w:tc>
        <w:tc>
          <w:tcPr>
            <w:tcW w:w="1037" w:type="dxa"/>
            <w:tcBorders>
              <w:top w:val="nil"/>
              <w:left w:val="nil"/>
              <w:bottom w:val="single" w:sz="4" w:space="0" w:color="auto"/>
              <w:right w:val="nil"/>
            </w:tcBorders>
            <w:shd w:val="clear" w:color="auto" w:fill="auto"/>
            <w:vAlign w:val="bottom"/>
            <w:hideMark/>
          </w:tcPr>
          <w:p w14:paraId="61E8D00C" w14:textId="77777777" w:rsidR="002E0925" w:rsidRPr="002E0925" w:rsidRDefault="002E0925" w:rsidP="002E0925">
            <w:pPr>
              <w:spacing w:after="0"/>
              <w:jc w:val="center"/>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FY21</w:t>
            </w:r>
          </w:p>
        </w:tc>
        <w:tc>
          <w:tcPr>
            <w:tcW w:w="1037" w:type="dxa"/>
            <w:tcBorders>
              <w:top w:val="nil"/>
              <w:left w:val="nil"/>
              <w:bottom w:val="single" w:sz="4" w:space="0" w:color="auto"/>
              <w:right w:val="nil"/>
            </w:tcBorders>
            <w:shd w:val="clear" w:color="auto" w:fill="auto"/>
            <w:vAlign w:val="bottom"/>
            <w:hideMark/>
          </w:tcPr>
          <w:p w14:paraId="3B8247CF" w14:textId="77777777" w:rsidR="002E0925" w:rsidRPr="002E0925" w:rsidRDefault="002E0925" w:rsidP="002E0925">
            <w:pPr>
              <w:spacing w:after="0"/>
              <w:jc w:val="center"/>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FY22</w:t>
            </w:r>
          </w:p>
        </w:tc>
      </w:tr>
      <w:tr w:rsidR="002E0925" w:rsidRPr="002E0925" w14:paraId="4D16C74D" w14:textId="77777777" w:rsidTr="00061E5C">
        <w:trPr>
          <w:trHeight w:val="20"/>
        </w:trPr>
        <w:tc>
          <w:tcPr>
            <w:tcW w:w="2811" w:type="dxa"/>
            <w:tcBorders>
              <w:top w:val="nil"/>
              <w:left w:val="nil"/>
              <w:bottom w:val="nil"/>
              <w:right w:val="nil"/>
            </w:tcBorders>
            <w:shd w:val="clear" w:color="auto" w:fill="auto"/>
            <w:vAlign w:val="bottom"/>
            <w:hideMark/>
          </w:tcPr>
          <w:p w14:paraId="5AC4F639"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Real Property</w:t>
            </w:r>
          </w:p>
        </w:tc>
        <w:tc>
          <w:tcPr>
            <w:tcW w:w="1132" w:type="dxa"/>
            <w:tcBorders>
              <w:top w:val="nil"/>
              <w:left w:val="nil"/>
              <w:bottom w:val="nil"/>
              <w:right w:val="nil"/>
            </w:tcBorders>
            <w:shd w:val="clear" w:color="auto" w:fill="auto"/>
            <w:vAlign w:val="bottom"/>
            <w:hideMark/>
          </w:tcPr>
          <w:p w14:paraId="5126C23F"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$24,447 </w:t>
            </w:r>
          </w:p>
        </w:tc>
        <w:tc>
          <w:tcPr>
            <w:tcW w:w="1132" w:type="dxa"/>
            <w:tcBorders>
              <w:top w:val="nil"/>
              <w:left w:val="nil"/>
              <w:bottom w:val="nil"/>
              <w:right w:val="nil"/>
            </w:tcBorders>
            <w:shd w:val="clear" w:color="auto" w:fill="auto"/>
            <w:vAlign w:val="bottom"/>
            <w:hideMark/>
          </w:tcPr>
          <w:p w14:paraId="56F6C70C"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$26,080 </w:t>
            </w:r>
          </w:p>
        </w:tc>
        <w:tc>
          <w:tcPr>
            <w:tcW w:w="1132" w:type="dxa"/>
            <w:tcBorders>
              <w:top w:val="nil"/>
              <w:left w:val="nil"/>
              <w:bottom w:val="nil"/>
              <w:right w:val="nil"/>
            </w:tcBorders>
            <w:shd w:val="clear" w:color="auto" w:fill="auto"/>
            <w:vAlign w:val="bottom"/>
            <w:hideMark/>
          </w:tcPr>
          <w:p w14:paraId="543F013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$27,680 </w:t>
            </w:r>
          </w:p>
        </w:tc>
        <w:tc>
          <w:tcPr>
            <w:tcW w:w="1198" w:type="dxa"/>
            <w:tcBorders>
              <w:top w:val="nil"/>
              <w:left w:val="nil"/>
              <w:bottom w:val="nil"/>
              <w:right w:val="nil"/>
            </w:tcBorders>
            <w:shd w:val="clear" w:color="auto" w:fill="auto"/>
            <w:vAlign w:val="bottom"/>
            <w:hideMark/>
          </w:tcPr>
          <w:p w14:paraId="101F2787"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$29,398 </w:t>
            </w:r>
          </w:p>
        </w:tc>
        <w:tc>
          <w:tcPr>
            <w:tcW w:w="1037" w:type="dxa"/>
            <w:tcBorders>
              <w:top w:val="nil"/>
              <w:left w:val="nil"/>
              <w:bottom w:val="nil"/>
              <w:right w:val="nil"/>
            </w:tcBorders>
            <w:shd w:val="clear" w:color="auto" w:fill="auto"/>
            <w:vAlign w:val="bottom"/>
            <w:hideMark/>
          </w:tcPr>
          <w:p w14:paraId="163C198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$30,989 </w:t>
            </w:r>
          </w:p>
        </w:tc>
        <w:tc>
          <w:tcPr>
            <w:tcW w:w="1037" w:type="dxa"/>
            <w:tcBorders>
              <w:top w:val="nil"/>
              <w:left w:val="nil"/>
              <w:bottom w:val="nil"/>
              <w:right w:val="nil"/>
            </w:tcBorders>
            <w:shd w:val="clear" w:color="auto" w:fill="auto"/>
            <w:vAlign w:val="bottom"/>
            <w:hideMark/>
          </w:tcPr>
          <w:p w14:paraId="1AABD4FE"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$32,577 </w:t>
            </w:r>
          </w:p>
        </w:tc>
      </w:tr>
      <w:tr w:rsidR="002E0925" w:rsidRPr="002E0925" w14:paraId="09E1444C" w14:textId="77777777" w:rsidTr="00061E5C">
        <w:trPr>
          <w:trHeight w:val="20"/>
        </w:trPr>
        <w:tc>
          <w:tcPr>
            <w:tcW w:w="2811" w:type="dxa"/>
            <w:tcBorders>
              <w:top w:val="nil"/>
              <w:left w:val="nil"/>
              <w:bottom w:val="nil"/>
              <w:right w:val="nil"/>
            </w:tcBorders>
            <w:shd w:val="clear" w:color="auto" w:fill="auto"/>
            <w:vAlign w:val="bottom"/>
            <w:hideMark/>
          </w:tcPr>
          <w:p w14:paraId="7DE8A332"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Personal Income</w:t>
            </w:r>
          </w:p>
        </w:tc>
        <w:tc>
          <w:tcPr>
            <w:tcW w:w="1132" w:type="dxa"/>
            <w:tcBorders>
              <w:top w:val="nil"/>
              <w:left w:val="nil"/>
              <w:bottom w:val="nil"/>
              <w:right w:val="nil"/>
            </w:tcBorders>
            <w:shd w:val="clear" w:color="auto" w:fill="auto"/>
            <w:vAlign w:val="bottom"/>
            <w:hideMark/>
          </w:tcPr>
          <w:p w14:paraId="60C9A747"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11,065 </w:t>
            </w:r>
          </w:p>
        </w:tc>
        <w:tc>
          <w:tcPr>
            <w:tcW w:w="1132" w:type="dxa"/>
            <w:tcBorders>
              <w:top w:val="nil"/>
              <w:left w:val="nil"/>
              <w:bottom w:val="nil"/>
              <w:right w:val="nil"/>
            </w:tcBorders>
            <w:shd w:val="clear" w:color="auto" w:fill="auto"/>
            <w:vAlign w:val="bottom"/>
            <w:hideMark/>
          </w:tcPr>
          <w:p w14:paraId="3323413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12,117 </w:t>
            </w:r>
          </w:p>
        </w:tc>
        <w:tc>
          <w:tcPr>
            <w:tcW w:w="1132" w:type="dxa"/>
            <w:tcBorders>
              <w:top w:val="nil"/>
              <w:left w:val="nil"/>
              <w:bottom w:val="nil"/>
              <w:right w:val="nil"/>
            </w:tcBorders>
            <w:shd w:val="clear" w:color="auto" w:fill="auto"/>
            <w:vAlign w:val="bottom"/>
            <w:hideMark/>
          </w:tcPr>
          <w:p w14:paraId="6A89761A"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12,677 </w:t>
            </w:r>
          </w:p>
        </w:tc>
        <w:tc>
          <w:tcPr>
            <w:tcW w:w="1198" w:type="dxa"/>
            <w:tcBorders>
              <w:top w:val="nil"/>
              <w:left w:val="nil"/>
              <w:bottom w:val="nil"/>
              <w:right w:val="nil"/>
            </w:tcBorders>
            <w:shd w:val="clear" w:color="auto" w:fill="auto"/>
            <w:vAlign w:val="bottom"/>
            <w:hideMark/>
          </w:tcPr>
          <w:p w14:paraId="3684BA35"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13,057 </w:t>
            </w:r>
          </w:p>
        </w:tc>
        <w:tc>
          <w:tcPr>
            <w:tcW w:w="1037" w:type="dxa"/>
            <w:tcBorders>
              <w:top w:val="nil"/>
              <w:left w:val="nil"/>
              <w:bottom w:val="nil"/>
              <w:right w:val="nil"/>
            </w:tcBorders>
            <w:shd w:val="clear" w:color="auto" w:fill="auto"/>
            <w:vAlign w:val="bottom"/>
            <w:hideMark/>
          </w:tcPr>
          <w:p w14:paraId="1CE8594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13,406 </w:t>
            </w:r>
          </w:p>
        </w:tc>
        <w:tc>
          <w:tcPr>
            <w:tcW w:w="1037" w:type="dxa"/>
            <w:tcBorders>
              <w:top w:val="nil"/>
              <w:left w:val="nil"/>
              <w:bottom w:val="nil"/>
              <w:right w:val="nil"/>
            </w:tcBorders>
            <w:shd w:val="clear" w:color="auto" w:fill="auto"/>
            <w:vAlign w:val="bottom"/>
            <w:hideMark/>
          </w:tcPr>
          <w:p w14:paraId="18B599FD"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13,767 </w:t>
            </w:r>
          </w:p>
        </w:tc>
      </w:tr>
      <w:tr w:rsidR="002E0925" w:rsidRPr="002E0925" w14:paraId="6754865D" w14:textId="77777777" w:rsidTr="00061E5C">
        <w:trPr>
          <w:trHeight w:val="20"/>
        </w:trPr>
        <w:tc>
          <w:tcPr>
            <w:tcW w:w="2811" w:type="dxa"/>
            <w:tcBorders>
              <w:top w:val="nil"/>
              <w:left w:val="nil"/>
              <w:bottom w:val="nil"/>
              <w:right w:val="nil"/>
            </w:tcBorders>
            <w:shd w:val="clear" w:color="auto" w:fill="auto"/>
            <w:vAlign w:val="bottom"/>
            <w:hideMark/>
          </w:tcPr>
          <w:p w14:paraId="2205D2BB"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Business Corporate</w:t>
            </w:r>
          </w:p>
        </w:tc>
        <w:tc>
          <w:tcPr>
            <w:tcW w:w="1132" w:type="dxa"/>
            <w:tcBorders>
              <w:top w:val="nil"/>
              <w:left w:val="nil"/>
              <w:bottom w:val="nil"/>
              <w:right w:val="nil"/>
            </w:tcBorders>
            <w:shd w:val="clear" w:color="auto" w:fill="auto"/>
            <w:vAlign w:val="bottom"/>
            <w:hideMark/>
          </w:tcPr>
          <w:p w14:paraId="54720F79"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3,445 </w:t>
            </w:r>
          </w:p>
        </w:tc>
        <w:tc>
          <w:tcPr>
            <w:tcW w:w="1132" w:type="dxa"/>
            <w:tcBorders>
              <w:top w:val="nil"/>
              <w:left w:val="nil"/>
              <w:bottom w:val="nil"/>
              <w:right w:val="nil"/>
            </w:tcBorders>
            <w:shd w:val="clear" w:color="auto" w:fill="auto"/>
            <w:vAlign w:val="bottom"/>
            <w:hideMark/>
          </w:tcPr>
          <w:p w14:paraId="36C86FFF"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3,391 </w:t>
            </w:r>
          </w:p>
        </w:tc>
        <w:tc>
          <w:tcPr>
            <w:tcW w:w="1132" w:type="dxa"/>
            <w:tcBorders>
              <w:top w:val="nil"/>
              <w:left w:val="nil"/>
              <w:bottom w:val="nil"/>
              <w:right w:val="nil"/>
            </w:tcBorders>
            <w:shd w:val="clear" w:color="auto" w:fill="auto"/>
            <w:vAlign w:val="bottom"/>
            <w:hideMark/>
          </w:tcPr>
          <w:p w14:paraId="427D57B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3,652 </w:t>
            </w:r>
          </w:p>
        </w:tc>
        <w:tc>
          <w:tcPr>
            <w:tcW w:w="1198" w:type="dxa"/>
            <w:tcBorders>
              <w:top w:val="nil"/>
              <w:left w:val="nil"/>
              <w:bottom w:val="nil"/>
              <w:right w:val="nil"/>
            </w:tcBorders>
            <w:shd w:val="clear" w:color="auto" w:fill="auto"/>
            <w:vAlign w:val="bottom"/>
            <w:hideMark/>
          </w:tcPr>
          <w:p w14:paraId="5D9AC54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3,764 </w:t>
            </w:r>
          </w:p>
        </w:tc>
        <w:tc>
          <w:tcPr>
            <w:tcW w:w="1037" w:type="dxa"/>
            <w:tcBorders>
              <w:top w:val="nil"/>
              <w:left w:val="nil"/>
              <w:bottom w:val="nil"/>
              <w:right w:val="nil"/>
            </w:tcBorders>
            <w:shd w:val="clear" w:color="auto" w:fill="auto"/>
            <w:vAlign w:val="bottom"/>
            <w:hideMark/>
          </w:tcPr>
          <w:p w14:paraId="158FC8D5"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3,788 </w:t>
            </w:r>
          </w:p>
        </w:tc>
        <w:tc>
          <w:tcPr>
            <w:tcW w:w="1037" w:type="dxa"/>
            <w:tcBorders>
              <w:top w:val="nil"/>
              <w:left w:val="nil"/>
              <w:bottom w:val="nil"/>
              <w:right w:val="nil"/>
            </w:tcBorders>
            <w:shd w:val="clear" w:color="auto" w:fill="auto"/>
            <w:vAlign w:val="bottom"/>
            <w:hideMark/>
          </w:tcPr>
          <w:p w14:paraId="48184D2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3,852 </w:t>
            </w:r>
          </w:p>
        </w:tc>
      </w:tr>
      <w:tr w:rsidR="002E0925" w:rsidRPr="002E0925" w14:paraId="6600B8B1" w14:textId="77777777" w:rsidTr="00061E5C">
        <w:trPr>
          <w:trHeight w:val="20"/>
        </w:trPr>
        <w:tc>
          <w:tcPr>
            <w:tcW w:w="2811" w:type="dxa"/>
            <w:tcBorders>
              <w:top w:val="nil"/>
              <w:left w:val="nil"/>
              <w:bottom w:val="nil"/>
              <w:right w:val="nil"/>
            </w:tcBorders>
            <w:shd w:val="clear" w:color="auto" w:fill="auto"/>
            <w:vAlign w:val="bottom"/>
            <w:hideMark/>
          </w:tcPr>
          <w:p w14:paraId="30B39CA4"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Unincorporated</w:t>
            </w:r>
          </w:p>
        </w:tc>
        <w:tc>
          <w:tcPr>
            <w:tcW w:w="1132" w:type="dxa"/>
            <w:tcBorders>
              <w:top w:val="nil"/>
              <w:left w:val="nil"/>
              <w:bottom w:val="nil"/>
              <w:right w:val="nil"/>
            </w:tcBorders>
            <w:shd w:val="clear" w:color="auto" w:fill="auto"/>
            <w:vAlign w:val="bottom"/>
            <w:hideMark/>
          </w:tcPr>
          <w:p w14:paraId="758D06E8"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2,005 </w:t>
            </w:r>
          </w:p>
        </w:tc>
        <w:tc>
          <w:tcPr>
            <w:tcW w:w="1132" w:type="dxa"/>
            <w:tcBorders>
              <w:top w:val="nil"/>
              <w:left w:val="nil"/>
              <w:bottom w:val="nil"/>
              <w:right w:val="nil"/>
            </w:tcBorders>
            <w:shd w:val="clear" w:color="auto" w:fill="auto"/>
            <w:vAlign w:val="bottom"/>
            <w:hideMark/>
          </w:tcPr>
          <w:p w14:paraId="3E4EEF7D"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2,129 </w:t>
            </w:r>
          </w:p>
        </w:tc>
        <w:tc>
          <w:tcPr>
            <w:tcW w:w="1132" w:type="dxa"/>
            <w:tcBorders>
              <w:top w:val="nil"/>
              <w:left w:val="nil"/>
              <w:bottom w:val="nil"/>
              <w:right w:val="nil"/>
            </w:tcBorders>
            <w:shd w:val="clear" w:color="auto" w:fill="auto"/>
            <w:vAlign w:val="bottom"/>
            <w:hideMark/>
          </w:tcPr>
          <w:p w14:paraId="754655F7"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2,281 </w:t>
            </w:r>
          </w:p>
        </w:tc>
        <w:tc>
          <w:tcPr>
            <w:tcW w:w="1198" w:type="dxa"/>
            <w:tcBorders>
              <w:top w:val="nil"/>
              <w:left w:val="nil"/>
              <w:bottom w:val="nil"/>
              <w:right w:val="nil"/>
            </w:tcBorders>
            <w:shd w:val="clear" w:color="auto" w:fill="auto"/>
            <w:vAlign w:val="bottom"/>
            <w:hideMark/>
          </w:tcPr>
          <w:p w14:paraId="265CD07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2,404 </w:t>
            </w:r>
          </w:p>
        </w:tc>
        <w:tc>
          <w:tcPr>
            <w:tcW w:w="1037" w:type="dxa"/>
            <w:tcBorders>
              <w:top w:val="nil"/>
              <w:left w:val="nil"/>
              <w:bottom w:val="nil"/>
              <w:right w:val="nil"/>
            </w:tcBorders>
            <w:shd w:val="clear" w:color="auto" w:fill="auto"/>
            <w:vAlign w:val="bottom"/>
            <w:hideMark/>
          </w:tcPr>
          <w:p w14:paraId="51B6B9F3"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2,496 </w:t>
            </w:r>
          </w:p>
        </w:tc>
        <w:tc>
          <w:tcPr>
            <w:tcW w:w="1037" w:type="dxa"/>
            <w:tcBorders>
              <w:top w:val="nil"/>
              <w:left w:val="nil"/>
              <w:bottom w:val="nil"/>
              <w:right w:val="nil"/>
            </w:tcBorders>
            <w:shd w:val="clear" w:color="auto" w:fill="auto"/>
            <w:vAlign w:val="bottom"/>
            <w:hideMark/>
          </w:tcPr>
          <w:p w14:paraId="6A08931D"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2,586 </w:t>
            </w:r>
          </w:p>
        </w:tc>
      </w:tr>
      <w:tr w:rsidR="002E0925" w:rsidRPr="002E0925" w14:paraId="4FE3714B" w14:textId="77777777" w:rsidTr="00061E5C">
        <w:trPr>
          <w:trHeight w:val="20"/>
        </w:trPr>
        <w:tc>
          <w:tcPr>
            <w:tcW w:w="2811" w:type="dxa"/>
            <w:tcBorders>
              <w:top w:val="nil"/>
              <w:left w:val="nil"/>
              <w:bottom w:val="nil"/>
              <w:right w:val="nil"/>
            </w:tcBorders>
            <w:shd w:val="clear" w:color="auto" w:fill="auto"/>
            <w:vAlign w:val="bottom"/>
            <w:hideMark/>
          </w:tcPr>
          <w:p w14:paraId="44BA537D"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Sales</w:t>
            </w:r>
          </w:p>
        </w:tc>
        <w:tc>
          <w:tcPr>
            <w:tcW w:w="1132" w:type="dxa"/>
            <w:tcBorders>
              <w:top w:val="nil"/>
              <w:left w:val="nil"/>
              <w:bottom w:val="nil"/>
              <w:right w:val="nil"/>
            </w:tcBorders>
            <w:shd w:val="clear" w:color="auto" w:fill="auto"/>
            <w:vAlign w:val="bottom"/>
            <w:hideMark/>
          </w:tcPr>
          <w:p w14:paraId="3B21BF8C"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7,017 </w:t>
            </w:r>
          </w:p>
        </w:tc>
        <w:tc>
          <w:tcPr>
            <w:tcW w:w="1132" w:type="dxa"/>
            <w:tcBorders>
              <w:top w:val="nil"/>
              <w:left w:val="nil"/>
              <w:bottom w:val="nil"/>
              <w:right w:val="nil"/>
            </w:tcBorders>
            <w:shd w:val="clear" w:color="auto" w:fill="auto"/>
            <w:vAlign w:val="bottom"/>
            <w:hideMark/>
          </w:tcPr>
          <w:p w14:paraId="18BE2F3C"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7,417 </w:t>
            </w:r>
          </w:p>
        </w:tc>
        <w:tc>
          <w:tcPr>
            <w:tcW w:w="1132" w:type="dxa"/>
            <w:tcBorders>
              <w:top w:val="nil"/>
              <w:left w:val="nil"/>
              <w:bottom w:val="nil"/>
              <w:right w:val="nil"/>
            </w:tcBorders>
            <w:shd w:val="clear" w:color="auto" w:fill="auto"/>
            <w:vAlign w:val="bottom"/>
            <w:hideMark/>
          </w:tcPr>
          <w:p w14:paraId="5326CE50"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7,788 </w:t>
            </w:r>
          </w:p>
        </w:tc>
        <w:tc>
          <w:tcPr>
            <w:tcW w:w="1198" w:type="dxa"/>
            <w:tcBorders>
              <w:top w:val="nil"/>
              <w:left w:val="nil"/>
              <w:bottom w:val="nil"/>
              <w:right w:val="nil"/>
            </w:tcBorders>
            <w:shd w:val="clear" w:color="auto" w:fill="auto"/>
            <w:vAlign w:val="bottom"/>
            <w:hideMark/>
          </w:tcPr>
          <w:p w14:paraId="12C5B1C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8,052 </w:t>
            </w:r>
          </w:p>
        </w:tc>
        <w:tc>
          <w:tcPr>
            <w:tcW w:w="1037" w:type="dxa"/>
            <w:tcBorders>
              <w:top w:val="nil"/>
              <w:left w:val="nil"/>
              <w:bottom w:val="nil"/>
              <w:right w:val="nil"/>
            </w:tcBorders>
            <w:shd w:val="clear" w:color="auto" w:fill="auto"/>
            <w:vAlign w:val="bottom"/>
            <w:hideMark/>
          </w:tcPr>
          <w:p w14:paraId="4541C32F"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8,318 </w:t>
            </w:r>
          </w:p>
        </w:tc>
        <w:tc>
          <w:tcPr>
            <w:tcW w:w="1037" w:type="dxa"/>
            <w:tcBorders>
              <w:top w:val="nil"/>
              <w:left w:val="nil"/>
              <w:bottom w:val="nil"/>
              <w:right w:val="nil"/>
            </w:tcBorders>
            <w:shd w:val="clear" w:color="auto" w:fill="auto"/>
            <w:vAlign w:val="bottom"/>
            <w:hideMark/>
          </w:tcPr>
          <w:p w14:paraId="06E9BC24"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8,536 </w:t>
            </w:r>
          </w:p>
        </w:tc>
      </w:tr>
      <w:tr w:rsidR="002E0925" w:rsidRPr="002E0925" w14:paraId="6B351A18" w14:textId="77777777" w:rsidTr="00061E5C">
        <w:trPr>
          <w:trHeight w:val="20"/>
        </w:trPr>
        <w:tc>
          <w:tcPr>
            <w:tcW w:w="2811" w:type="dxa"/>
            <w:tcBorders>
              <w:top w:val="nil"/>
              <w:left w:val="nil"/>
              <w:bottom w:val="nil"/>
              <w:right w:val="nil"/>
            </w:tcBorders>
            <w:shd w:val="clear" w:color="auto" w:fill="auto"/>
            <w:vAlign w:val="bottom"/>
            <w:hideMark/>
          </w:tcPr>
          <w:p w14:paraId="637E1745"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Commercial Rent</w:t>
            </w:r>
          </w:p>
        </w:tc>
        <w:tc>
          <w:tcPr>
            <w:tcW w:w="1132" w:type="dxa"/>
            <w:tcBorders>
              <w:top w:val="nil"/>
              <w:left w:val="nil"/>
              <w:bottom w:val="nil"/>
              <w:right w:val="nil"/>
            </w:tcBorders>
            <w:shd w:val="clear" w:color="auto" w:fill="auto"/>
            <w:vAlign w:val="bottom"/>
            <w:hideMark/>
          </w:tcPr>
          <w:p w14:paraId="774FA7C7"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816 </w:t>
            </w:r>
          </w:p>
        </w:tc>
        <w:tc>
          <w:tcPr>
            <w:tcW w:w="1132" w:type="dxa"/>
            <w:tcBorders>
              <w:top w:val="nil"/>
              <w:left w:val="nil"/>
              <w:bottom w:val="nil"/>
              <w:right w:val="nil"/>
            </w:tcBorders>
            <w:shd w:val="clear" w:color="auto" w:fill="auto"/>
            <w:vAlign w:val="bottom"/>
            <w:hideMark/>
          </w:tcPr>
          <w:p w14:paraId="45E464D8"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844 </w:t>
            </w:r>
          </w:p>
        </w:tc>
        <w:tc>
          <w:tcPr>
            <w:tcW w:w="1132" w:type="dxa"/>
            <w:tcBorders>
              <w:top w:val="nil"/>
              <w:left w:val="nil"/>
              <w:bottom w:val="nil"/>
              <w:right w:val="nil"/>
            </w:tcBorders>
            <w:shd w:val="clear" w:color="auto" w:fill="auto"/>
            <w:vAlign w:val="bottom"/>
            <w:hideMark/>
          </w:tcPr>
          <w:p w14:paraId="65FD8D81"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862 </w:t>
            </w:r>
          </w:p>
        </w:tc>
        <w:tc>
          <w:tcPr>
            <w:tcW w:w="1198" w:type="dxa"/>
            <w:tcBorders>
              <w:top w:val="nil"/>
              <w:left w:val="nil"/>
              <w:bottom w:val="nil"/>
              <w:right w:val="nil"/>
            </w:tcBorders>
            <w:shd w:val="clear" w:color="auto" w:fill="auto"/>
            <w:vAlign w:val="bottom"/>
            <w:hideMark/>
          </w:tcPr>
          <w:p w14:paraId="4B2A824D"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904 </w:t>
            </w:r>
          </w:p>
        </w:tc>
        <w:tc>
          <w:tcPr>
            <w:tcW w:w="1037" w:type="dxa"/>
            <w:tcBorders>
              <w:top w:val="nil"/>
              <w:left w:val="nil"/>
              <w:bottom w:val="nil"/>
              <w:right w:val="nil"/>
            </w:tcBorders>
            <w:shd w:val="clear" w:color="auto" w:fill="auto"/>
            <w:vAlign w:val="bottom"/>
            <w:hideMark/>
          </w:tcPr>
          <w:p w14:paraId="38D5A827"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947 </w:t>
            </w:r>
          </w:p>
        </w:tc>
        <w:tc>
          <w:tcPr>
            <w:tcW w:w="1037" w:type="dxa"/>
            <w:tcBorders>
              <w:top w:val="nil"/>
              <w:left w:val="nil"/>
              <w:bottom w:val="nil"/>
              <w:right w:val="nil"/>
            </w:tcBorders>
            <w:shd w:val="clear" w:color="auto" w:fill="auto"/>
            <w:vAlign w:val="bottom"/>
            <w:hideMark/>
          </w:tcPr>
          <w:p w14:paraId="77A0B462"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987 </w:t>
            </w:r>
          </w:p>
        </w:tc>
      </w:tr>
      <w:tr w:rsidR="002E0925" w:rsidRPr="002E0925" w14:paraId="04C6200F" w14:textId="77777777" w:rsidTr="00061E5C">
        <w:trPr>
          <w:trHeight w:val="20"/>
        </w:trPr>
        <w:tc>
          <w:tcPr>
            <w:tcW w:w="2811" w:type="dxa"/>
            <w:tcBorders>
              <w:top w:val="nil"/>
              <w:left w:val="nil"/>
              <w:bottom w:val="nil"/>
              <w:right w:val="nil"/>
            </w:tcBorders>
            <w:shd w:val="clear" w:color="auto" w:fill="auto"/>
            <w:vAlign w:val="bottom"/>
            <w:hideMark/>
          </w:tcPr>
          <w:p w14:paraId="6F370CB7"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Real Property Transfer</w:t>
            </w:r>
          </w:p>
        </w:tc>
        <w:tc>
          <w:tcPr>
            <w:tcW w:w="1132" w:type="dxa"/>
            <w:tcBorders>
              <w:top w:val="nil"/>
              <w:left w:val="nil"/>
              <w:bottom w:val="nil"/>
              <w:right w:val="nil"/>
            </w:tcBorders>
            <w:shd w:val="clear" w:color="auto" w:fill="auto"/>
            <w:vAlign w:val="bottom"/>
            <w:hideMark/>
          </w:tcPr>
          <w:p w14:paraId="2DEFCE61"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1,415 </w:t>
            </w:r>
          </w:p>
        </w:tc>
        <w:tc>
          <w:tcPr>
            <w:tcW w:w="1132" w:type="dxa"/>
            <w:tcBorders>
              <w:top w:val="nil"/>
              <w:left w:val="nil"/>
              <w:bottom w:val="nil"/>
              <w:right w:val="nil"/>
            </w:tcBorders>
            <w:shd w:val="clear" w:color="auto" w:fill="auto"/>
            <w:vAlign w:val="bottom"/>
            <w:hideMark/>
          </w:tcPr>
          <w:p w14:paraId="63CD297E"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1,369 </w:t>
            </w:r>
          </w:p>
        </w:tc>
        <w:tc>
          <w:tcPr>
            <w:tcW w:w="1132" w:type="dxa"/>
            <w:tcBorders>
              <w:top w:val="nil"/>
              <w:left w:val="nil"/>
              <w:bottom w:val="nil"/>
              <w:right w:val="nil"/>
            </w:tcBorders>
            <w:shd w:val="clear" w:color="auto" w:fill="auto"/>
            <w:vAlign w:val="bottom"/>
            <w:hideMark/>
          </w:tcPr>
          <w:p w14:paraId="50BDA0D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1,362 </w:t>
            </w:r>
          </w:p>
        </w:tc>
        <w:tc>
          <w:tcPr>
            <w:tcW w:w="1198" w:type="dxa"/>
            <w:tcBorders>
              <w:top w:val="nil"/>
              <w:left w:val="nil"/>
              <w:bottom w:val="nil"/>
              <w:right w:val="nil"/>
            </w:tcBorders>
            <w:shd w:val="clear" w:color="auto" w:fill="auto"/>
            <w:vAlign w:val="bottom"/>
            <w:hideMark/>
          </w:tcPr>
          <w:p w14:paraId="15D01852"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1,385 </w:t>
            </w:r>
          </w:p>
        </w:tc>
        <w:tc>
          <w:tcPr>
            <w:tcW w:w="1037" w:type="dxa"/>
            <w:tcBorders>
              <w:top w:val="nil"/>
              <w:left w:val="nil"/>
              <w:bottom w:val="nil"/>
              <w:right w:val="nil"/>
            </w:tcBorders>
            <w:shd w:val="clear" w:color="auto" w:fill="auto"/>
            <w:vAlign w:val="bottom"/>
            <w:hideMark/>
          </w:tcPr>
          <w:p w14:paraId="6B41CED0"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1,414 </w:t>
            </w:r>
          </w:p>
        </w:tc>
        <w:tc>
          <w:tcPr>
            <w:tcW w:w="1037" w:type="dxa"/>
            <w:tcBorders>
              <w:top w:val="nil"/>
              <w:left w:val="nil"/>
              <w:bottom w:val="nil"/>
              <w:right w:val="nil"/>
            </w:tcBorders>
            <w:shd w:val="clear" w:color="auto" w:fill="auto"/>
            <w:vAlign w:val="bottom"/>
            <w:hideMark/>
          </w:tcPr>
          <w:p w14:paraId="56A7F74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1,431 </w:t>
            </w:r>
          </w:p>
        </w:tc>
      </w:tr>
      <w:tr w:rsidR="002E0925" w:rsidRPr="002E0925" w14:paraId="45C8A49F" w14:textId="77777777" w:rsidTr="00061E5C">
        <w:trPr>
          <w:trHeight w:val="20"/>
        </w:trPr>
        <w:tc>
          <w:tcPr>
            <w:tcW w:w="2811" w:type="dxa"/>
            <w:tcBorders>
              <w:top w:val="nil"/>
              <w:left w:val="nil"/>
              <w:bottom w:val="nil"/>
              <w:right w:val="nil"/>
            </w:tcBorders>
            <w:shd w:val="clear" w:color="auto" w:fill="auto"/>
            <w:vAlign w:val="bottom"/>
            <w:hideMark/>
          </w:tcPr>
          <w:p w14:paraId="3FC89AF1"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Mortgage Recording</w:t>
            </w:r>
          </w:p>
        </w:tc>
        <w:tc>
          <w:tcPr>
            <w:tcW w:w="1132" w:type="dxa"/>
            <w:tcBorders>
              <w:top w:val="nil"/>
              <w:left w:val="nil"/>
              <w:bottom w:val="nil"/>
              <w:right w:val="nil"/>
            </w:tcBorders>
            <w:shd w:val="clear" w:color="auto" w:fill="auto"/>
            <w:vAlign w:val="bottom"/>
            <w:hideMark/>
          </w:tcPr>
          <w:p w14:paraId="0DECF1EF"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1,118 </w:t>
            </w:r>
          </w:p>
        </w:tc>
        <w:tc>
          <w:tcPr>
            <w:tcW w:w="1132" w:type="dxa"/>
            <w:tcBorders>
              <w:top w:val="nil"/>
              <w:left w:val="nil"/>
              <w:bottom w:val="nil"/>
              <w:right w:val="nil"/>
            </w:tcBorders>
            <w:shd w:val="clear" w:color="auto" w:fill="auto"/>
            <w:vAlign w:val="bottom"/>
            <w:hideMark/>
          </w:tcPr>
          <w:p w14:paraId="560A2441"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1,050 </w:t>
            </w:r>
          </w:p>
        </w:tc>
        <w:tc>
          <w:tcPr>
            <w:tcW w:w="1132" w:type="dxa"/>
            <w:tcBorders>
              <w:top w:val="nil"/>
              <w:left w:val="nil"/>
              <w:bottom w:val="nil"/>
              <w:right w:val="nil"/>
            </w:tcBorders>
            <w:shd w:val="clear" w:color="auto" w:fill="auto"/>
            <w:vAlign w:val="bottom"/>
            <w:hideMark/>
          </w:tcPr>
          <w:p w14:paraId="5E1DC7EC"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986 </w:t>
            </w:r>
          </w:p>
        </w:tc>
        <w:tc>
          <w:tcPr>
            <w:tcW w:w="1198" w:type="dxa"/>
            <w:tcBorders>
              <w:top w:val="nil"/>
              <w:left w:val="nil"/>
              <w:bottom w:val="nil"/>
              <w:right w:val="nil"/>
            </w:tcBorders>
            <w:shd w:val="clear" w:color="auto" w:fill="auto"/>
            <w:vAlign w:val="bottom"/>
            <w:hideMark/>
          </w:tcPr>
          <w:p w14:paraId="378BA1A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1,007 </w:t>
            </w:r>
          </w:p>
        </w:tc>
        <w:tc>
          <w:tcPr>
            <w:tcW w:w="1037" w:type="dxa"/>
            <w:tcBorders>
              <w:top w:val="nil"/>
              <w:left w:val="nil"/>
              <w:bottom w:val="nil"/>
              <w:right w:val="nil"/>
            </w:tcBorders>
            <w:shd w:val="clear" w:color="auto" w:fill="auto"/>
            <w:vAlign w:val="bottom"/>
            <w:hideMark/>
          </w:tcPr>
          <w:p w14:paraId="02C5FD68"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991 </w:t>
            </w:r>
          </w:p>
        </w:tc>
        <w:tc>
          <w:tcPr>
            <w:tcW w:w="1037" w:type="dxa"/>
            <w:tcBorders>
              <w:top w:val="nil"/>
              <w:left w:val="nil"/>
              <w:bottom w:val="nil"/>
              <w:right w:val="nil"/>
            </w:tcBorders>
            <w:shd w:val="clear" w:color="auto" w:fill="auto"/>
            <w:vAlign w:val="bottom"/>
            <w:hideMark/>
          </w:tcPr>
          <w:p w14:paraId="009741EC"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992 </w:t>
            </w:r>
          </w:p>
        </w:tc>
      </w:tr>
      <w:tr w:rsidR="002E0925" w:rsidRPr="002E0925" w14:paraId="5131A730" w14:textId="77777777" w:rsidTr="00061E5C">
        <w:trPr>
          <w:trHeight w:val="20"/>
        </w:trPr>
        <w:tc>
          <w:tcPr>
            <w:tcW w:w="2811" w:type="dxa"/>
            <w:tcBorders>
              <w:top w:val="nil"/>
              <w:left w:val="nil"/>
              <w:bottom w:val="nil"/>
              <w:right w:val="nil"/>
            </w:tcBorders>
            <w:shd w:val="clear" w:color="auto" w:fill="auto"/>
            <w:vAlign w:val="bottom"/>
            <w:hideMark/>
          </w:tcPr>
          <w:p w14:paraId="3D6046D7"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Utility</w:t>
            </w:r>
          </w:p>
        </w:tc>
        <w:tc>
          <w:tcPr>
            <w:tcW w:w="1132" w:type="dxa"/>
            <w:tcBorders>
              <w:top w:val="nil"/>
              <w:left w:val="nil"/>
              <w:bottom w:val="nil"/>
              <w:right w:val="nil"/>
            </w:tcBorders>
            <w:shd w:val="clear" w:color="auto" w:fill="auto"/>
            <w:vAlign w:val="bottom"/>
            <w:hideMark/>
          </w:tcPr>
          <w:p w14:paraId="318A8018"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371 </w:t>
            </w:r>
          </w:p>
        </w:tc>
        <w:tc>
          <w:tcPr>
            <w:tcW w:w="1132" w:type="dxa"/>
            <w:tcBorders>
              <w:top w:val="nil"/>
              <w:left w:val="nil"/>
              <w:bottom w:val="nil"/>
              <w:right w:val="nil"/>
            </w:tcBorders>
            <w:shd w:val="clear" w:color="auto" w:fill="auto"/>
            <w:vAlign w:val="bottom"/>
            <w:hideMark/>
          </w:tcPr>
          <w:p w14:paraId="2960F854"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358 </w:t>
            </w:r>
          </w:p>
        </w:tc>
        <w:tc>
          <w:tcPr>
            <w:tcW w:w="1132" w:type="dxa"/>
            <w:tcBorders>
              <w:top w:val="nil"/>
              <w:left w:val="nil"/>
              <w:bottom w:val="nil"/>
              <w:right w:val="nil"/>
            </w:tcBorders>
            <w:shd w:val="clear" w:color="auto" w:fill="auto"/>
            <w:vAlign w:val="bottom"/>
            <w:hideMark/>
          </w:tcPr>
          <w:p w14:paraId="08237FA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360 </w:t>
            </w:r>
          </w:p>
        </w:tc>
        <w:tc>
          <w:tcPr>
            <w:tcW w:w="1198" w:type="dxa"/>
            <w:tcBorders>
              <w:top w:val="nil"/>
              <w:left w:val="nil"/>
              <w:bottom w:val="nil"/>
              <w:right w:val="nil"/>
            </w:tcBorders>
            <w:shd w:val="clear" w:color="auto" w:fill="auto"/>
            <w:vAlign w:val="bottom"/>
            <w:hideMark/>
          </w:tcPr>
          <w:p w14:paraId="54E56BB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369 </w:t>
            </w:r>
          </w:p>
        </w:tc>
        <w:tc>
          <w:tcPr>
            <w:tcW w:w="1037" w:type="dxa"/>
            <w:tcBorders>
              <w:top w:val="nil"/>
              <w:left w:val="nil"/>
              <w:bottom w:val="nil"/>
              <w:right w:val="nil"/>
            </w:tcBorders>
            <w:shd w:val="clear" w:color="auto" w:fill="auto"/>
            <w:vAlign w:val="bottom"/>
            <w:hideMark/>
          </w:tcPr>
          <w:p w14:paraId="0062D003"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377 </w:t>
            </w:r>
          </w:p>
        </w:tc>
        <w:tc>
          <w:tcPr>
            <w:tcW w:w="1037" w:type="dxa"/>
            <w:tcBorders>
              <w:top w:val="nil"/>
              <w:left w:val="nil"/>
              <w:bottom w:val="nil"/>
              <w:right w:val="nil"/>
            </w:tcBorders>
            <w:shd w:val="clear" w:color="auto" w:fill="auto"/>
            <w:vAlign w:val="bottom"/>
            <w:hideMark/>
          </w:tcPr>
          <w:p w14:paraId="69D2A5D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388 </w:t>
            </w:r>
          </w:p>
        </w:tc>
      </w:tr>
      <w:tr w:rsidR="002E0925" w:rsidRPr="002E0925" w14:paraId="66008F3F" w14:textId="77777777" w:rsidTr="00061E5C">
        <w:trPr>
          <w:trHeight w:val="20"/>
        </w:trPr>
        <w:tc>
          <w:tcPr>
            <w:tcW w:w="2811" w:type="dxa"/>
            <w:tcBorders>
              <w:top w:val="nil"/>
              <w:left w:val="nil"/>
              <w:bottom w:val="nil"/>
              <w:right w:val="nil"/>
            </w:tcBorders>
            <w:shd w:val="clear" w:color="auto" w:fill="auto"/>
            <w:vAlign w:val="bottom"/>
            <w:hideMark/>
          </w:tcPr>
          <w:p w14:paraId="78E7C27D"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Hotels</w:t>
            </w:r>
          </w:p>
        </w:tc>
        <w:tc>
          <w:tcPr>
            <w:tcW w:w="1132" w:type="dxa"/>
            <w:tcBorders>
              <w:top w:val="nil"/>
              <w:left w:val="nil"/>
              <w:bottom w:val="nil"/>
              <w:right w:val="nil"/>
            </w:tcBorders>
            <w:shd w:val="clear" w:color="auto" w:fill="auto"/>
            <w:vAlign w:val="bottom"/>
            <w:hideMark/>
          </w:tcPr>
          <w:p w14:paraId="6E1D1E62"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579 </w:t>
            </w:r>
          </w:p>
        </w:tc>
        <w:tc>
          <w:tcPr>
            <w:tcW w:w="1132" w:type="dxa"/>
            <w:tcBorders>
              <w:top w:val="nil"/>
              <w:left w:val="nil"/>
              <w:bottom w:val="nil"/>
              <w:right w:val="nil"/>
            </w:tcBorders>
            <w:shd w:val="clear" w:color="auto" w:fill="auto"/>
            <w:vAlign w:val="bottom"/>
            <w:hideMark/>
          </w:tcPr>
          <w:p w14:paraId="6E2381DF"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589 </w:t>
            </w:r>
          </w:p>
        </w:tc>
        <w:tc>
          <w:tcPr>
            <w:tcW w:w="1132" w:type="dxa"/>
            <w:tcBorders>
              <w:top w:val="nil"/>
              <w:left w:val="nil"/>
              <w:bottom w:val="nil"/>
              <w:right w:val="nil"/>
            </w:tcBorders>
            <w:shd w:val="clear" w:color="auto" w:fill="auto"/>
            <w:vAlign w:val="bottom"/>
            <w:hideMark/>
          </w:tcPr>
          <w:p w14:paraId="633A33FB"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614 </w:t>
            </w:r>
          </w:p>
        </w:tc>
        <w:tc>
          <w:tcPr>
            <w:tcW w:w="1198" w:type="dxa"/>
            <w:tcBorders>
              <w:top w:val="nil"/>
              <w:left w:val="nil"/>
              <w:bottom w:val="nil"/>
              <w:right w:val="nil"/>
            </w:tcBorders>
            <w:shd w:val="clear" w:color="auto" w:fill="auto"/>
            <w:vAlign w:val="bottom"/>
            <w:hideMark/>
          </w:tcPr>
          <w:p w14:paraId="4AE91AA5"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639 </w:t>
            </w:r>
          </w:p>
        </w:tc>
        <w:tc>
          <w:tcPr>
            <w:tcW w:w="1037" w:type="dxa"/>
            <w:tcBorders>
              <w:top w:val="nil"/>
              <w:left w:val="nil"/>
              <w:bottom w:val="nil"/>
              <w:right w:val="nil"/>
            </w:tcBorders>
            <w:shd w:val="clear" w:color="auto" w:fill="auto"/>
            <w:vAlign w:val="bottom"/>
            <w:hideMark/>
          </w:tcPr>
          <w:p w14:paraId="6BB00C72"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661 </w:t>
            </w:r>
          </w:p>
        </w:tc>
        <w:tc>
          <w:tcPr>
            <w:tcW w:w="1037" w:type="dxa"/>
            <w:tcBorders>
              <w:top w:val="nil"/>
              <w:left w:val="nil"/>
              <w:bottom w:val="nil"/>
              <w:right w:val="nil"/>
            </w:tcBorders>
            <w:shd w:val="clear" w:color="auto" w:fill="auto"/>
            <w:vAlign w:val="bottom"/>
            <w:hideMark/>
          </w:tcPr>
          <w:p w14:paraId="5BDA6FD1"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684 </w:t>
            </w:r>
          </w:p>
        </w:tc>
      </w:tr>
      <w:tr w:rsidR="002E0925" w:rsidRPr="002E0925" w14:paraId="3D495936" w14:textId="77777777" w:rsidTr="00061E5C">
        <w:trPr>
          <w:trHeight w:val="20"/>
        </w:trPr>
        <w:tc>
          <w:tcPr>
            <w:tcW w:w="2811" w:type="dxa"/>
            <w:tcBorders>
              <w:top w:val="nil"/>
              <w:left w:val="nil"/>
              <w:bottom w:val="nil"/>
              <w:right w:val="nil"/>
            </w:tcBorders>
            <w:shd w:val="clear" w:color="auto" w:fill="auto"/>
            <w:vAlign w:val="bottom"/>
            <w:hideMark/>
          </w:tcPr>
          <w:p w14:paraId="3E845A6C"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All Others</w:t>
            </w:r>
          </w:p>
        </w:tc>
        <w:tc>
          <w:tcPr>
            <w:tcW w:w="1132" w:type="dxa"/>
            <w:tcBorders>
              <w:top w:val="nil"/>
              <w:left w:val="nil"/>
              <w:bottom w:val="nil"/>
              <w:right w:val="nil"/>
            </w:tcBorders>
            <w:shd w:val="clear" w:color="auto" w:fill="auto"/>
            <w:vAlign w:val="bottom"/>
            <w:hideMark/>
          </w:tcPr>
          <w:p w14:paraId="768DC8B5"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1,056 </w:t>
            </w:r>
          </w:p>
        </w:tc>
        <w:tc>
          <w:tcPr>
            <w:tcW w:w="1132" w:type="dxa"/>
            <w:tcBorders>
              <w:top w:val="nil"/>
              <w:left w:val="nil"/>
              <w:bottom w:val="nil"/>
              <w:right w:val="nil"/>
            </w:tcBorders>
            <w:shd w:val="clear" w:color="auto" w:fill="auto"/>
            <w:vAlign w:val="bottom"/>
            <w:hideMark/>
          </w:tcPr>
          <w:p w14:paraId="3859C20A"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1,004 </w:t>
            </w:r>
          </w:p>
        </w:tc>
        <w:tc>
          <w:tcPr>
            <w:tcW w:w="1132" w:type="dxa"/>
            <w:tcBorders>
              <w:top w:val="nil"/>
              <w:left w:val="nil"/>
              <w:bottom w:val="nil"/>
              <w:right w:val="nil"/>
            </w:tcBorders>
            <w:shd w:val="clear" w:color="auto" w:fill="auto"/>
            <w:vAlign w:val="bottom"/>
            <w:hideMark/>
          </w:tcPr>
          <w:p w14:paraId="6675BDE4"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970 </w:t>
            </w:r>
          </w:p>
        </w:tc>
        <w:tc>
          <w:tcPr>
            <w:tcW w:w="1198" w:type="dxa"/>
            <w:tcBorders>
              <w:top w:val="nil"/>
              <w:left w:val="nil"/>
              <w:bottom w:val="nil"/>
              <w:right w:val="nil"/>
            </w:tcBorders>
            <w:shd w:val="clear" w:color="auto" w:fill="auto"/>
            <w:vAlign w:val="bottom"/>
            <w:hideMark/>
          </w:tcPr>
          <w:p w14:paraId="4E02BFE0"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966 </w:t>
            </w:r>
          </w:p>
        </w:tc>
        <w:tc>
          <w:tcPr>
            <w:tcW w:w="1037" w:type="dxa"/>
            <w:tcBorders>
              <w:top w:val="nil"/>
              <w:left w:val="nil"/>
              <w:bottom w:val="nil"/>
              <w:right w:val="nil"/>
            </w:tcBorders>
            <w:shd w:val="clear" w:color="auto" w:fill="auto"/>
            <w:vAlign w:val="bottom"/>
            <w:hideMark/>
          </w:tcPr>
          <w:p w14:paraId="5A87CB5E"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963 </w:t>
            </w:r>
          </w:p>
        </w:tc>
        <w:tc>
          <w:tcPr>
            <w:tcW w:w="1037" w:type="dxa"/>
            <w:tcBorders>
              <w:top w:val="nil"/>
              <w:left w:val="nil"/>
              <w:bottom w:val="nil"/>
              <w:right w:val="nil"/>
            </w:tcBorders>
            <w:shd w:val="clear" w:color="auto" w:fill="auto"/>
            <w:vAlign w:val="bottom"/>
            <w:hideMark/>
          </w:tcPr>
          <w:p w14:paraId="2691AA92"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966 </w:t>
            </w:r>
          </w:p>
        </w:tc>
      </w:tr>
      <w:tr w:rsidR="002E0925" w:rsidRPr="002E0925" w14:paraId="5720BE08" w14:textId="77777777" w:rsidTr="00061E5C">
        <w:trPr>
          <w:trHeight w:val="20"/>
        </w:trPr>
        <w:tc>
          <w:tcPr>
            <w:tcW w:w="2811" w:type="dxa"/>
            <w:tcBorders>
              <w:top w:val="nil"/>
              <w:left w:val="nil"/>
              <w:bottom w:val="nil"/>
              <w:right w:val="nil"/>
            </w:tcBorders>
            <w:shd w:val="clear" w:color="auto" w:fill="auto"/>
            <w:vAlign w:val="bottom"/>
            <w:hideMark/>
          </w:tcPr>
          <w:p w14:paraId="41F052F8"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Audits</w:t>
            </w:r>
          </w:p>
        </w:tc>
        <w:tc>
          <w:tcPr>
            <w:tcW w:w="1132" w:type="dxa"/>
            <w:tcBorders>
              <w:top w:val="nil"/>
              <w:left w:val="nil"/>
              <w:bottom w:val="nil"/>
              <w:right w:val="nil"/>
            </w:tcBorders>
            <w:shd w:val="clear" w:color="auto" w:fill="auto"/>
            <w:vAlign w:val="bottom"/>
            <w:hideMark/>
          </w:tcPr>
          <w:p w14:paraId="3BABD294"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1,296 </w:t>
            </w:r>
          </w:p>
        </w:tc>
        <w:tc>
          <w:tcPr>
            <w:tcW w:w="1132" w:type="dxa"/>
            <w:tcBorders>
              <w:top w:val="nil"/>
              <w:left w:val="nil"/>
              <w:bottom w:val="nil"/>
              <w:right w:val="nil"/>
            </w:tcBorders>
            <w:shd w:val="clear" w:color="auto" w:fill="auto"/>
            <w:vAlign w:val="bottom"/>
            <w:hideMark/>
          </w:tcPr>
          <w:p w14:paraId="49BA537A"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1,299 </w:t>
            </w:r>
          </w:p>
        </w:tc>
        <w:tc>
          <w:tcPr>
            <w:tcW w:w="1132" w:type="dxa"/>
            <w:tcBorders>
              <w:top w:val="nil"/>
              <w:left w:val="nil"/>
              <w:bottom w:val="nil"/>
              <w:right w:val="nil"/>
            </w:tcBorders>
            <w:shd w:val="clear" w:color="auto" w:fill="auto"/>
            <w:vAlign w:val="bottom"/>
            <w:hideMark/>
          </w:tcPr>
          <w:p w14:paraId="0C2155C0"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1,056 </w:t>
            </w:r>
          </w:p>
        </w:tc>
        <w:tc>
          <w:tcPr>
            <w:tcW w:w="1198" w:type="dxa"/>
            <w:tcBorders>
              <w:top w:val="nil"/>
              <w:left w:val="nil"/>
              <w:bottom w:val="nil"/>
              <w:right w:val="nil"/>
            </w:tcBorders>
            <w:shd w:val="clear" w:color="auto" w:fill="auto"/>
            <w:vAlign w:val="bottom"/>
            <w:hideMark/>
          </w:tcPr>
          <w:p w14:paraId="75E365D6"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821 </w:t>
            </w:r>
          </w:p>
        </w:tc>
        <w:tc>
          <w:tcPr>
            <w:tcW w:w="1037" w:type="dxa"/>
            <w:tcBorders>
              <w:top w:val="nil"/>
              <w:left w:val="nil"/>
              <w:bottom w:val="nil"/>
              <w:right w:val="nil"/>
            </w:tcBorders>
            <w:shd w:val="clear" w:color="auto" w:fill="auto"/>
            <w:vAlign w:val="bottom"/>
            <w:hideMark/>
          </w:tcPr>
          <w:p w14:paraId="2FC6C0B3"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821 </w:t>
            </w:r>
          </w:p>
        </w:tc>
        <w:tc>
          <w:tcPr>
            <w:tcW w:w="1037" w:type="dxa"/>
            <w:tcBorders>
              <w:top w:val="nil"/>
              <w:left w:val="nil"/>
              <w:bottom w:val="nil"/>
              <w:right w:val="nil"/>
            </w:tcBorders>
            <w:shd w:val="clear" w:color="auto" w:fill="auto"/>
            <w:vAlign w:val="bottom"/>
            <w:hideMark/>
          </w:tcPr>
          <w:p w14:paraId="76DB538A"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821 </w:t>
            </w:r>
          </w:p>
        </w:tc>
      </w:tr>
      <w:tr w:rsidR="002E0925" w:rsidRPr="002E0925" w14:paraId="69BC5462" w14:textId="77777777" w:rsidTr="00061E5C">
        <w:trPr>
          <w:trHeight w:val="20"/>
        </w:trPr>
        <w:tc>
          <w:tcPr>
            <w:tcW w:w="2811" w:type="dxa"/>
            <w:tcBorders>
              <w:top w:val="nil"/>
              <w:left w:val="nil"/>
              <w:bottom w:val="nil"/>
              <w:right w:val="nil"/>
            </w:tcBorders>
            <w:shd w:val="clear" w:color="auto" w:fill="auto"/>
            <w:vAlign w:val="bottom"/>
            <w:hideMark/>
          </w:tcPr>
          <w:p w14:paraId="1E271E23" w14:textId="77777777" w:rsidR="002E0925" w:rsidRPr="002E0925" w:rsidRDefault="002E0925" w:rsidP="002E0925">
            <w:pPr>
              <w:spacing w:after="0"/>
              <w:jc w:val="lef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Total Taxes</w:t>
            </w:r>
          </w:p>
        </w:tc>
        <w:tc>
          <w:tcPr>
            <w:tcW w:w="1132" w:type="dxa"/>
            <w:tcBorders>
              <w:top w:val="single" w:sz="4" w:space="0" w:color="auto"/>
              <w:left w:val="nil"/>
              <w:bottom w:val="nil"/>
              <w:right w:val="nil"/>
            </w:tcBorders>
            <w:shd w:val="clear" w:color="auto" w:fill="auto"/>
            <w:vAlign w:val="bottom"/>
            <w:hideMark/>
          </w:tcPr>
          <w:p w14:paraId="5DBBE766" w14:textId="77777777" w:rsidR="002E0925" w:rsidRPr="002E0925" w:rsidRDefault="002E0925" w:rsidP="002E0925">
            <w:pPr>
              <w:spacing w:after="0"/>
              <w:jc w:val="righ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 xml:space="preserve">$54,631 </w:t>
            </w:r>
          </w:p>
        </w:tc>
        <w:tc>
          <w:tcPr>
            <w:tcW w:w="1132" w:type="dxa"/>
            <w:tcBorders>
              <w:top w:val="single" w:sz="4" w:space="0" w:color="auto"/>
              <w:left w:val="nil"/>
              <w:bottom w:val="nil"/>
              <w:right w:val="nil"/>
            </w:tcBorders>
            <w:shd w:val="clear" w:color="auto" w:fill="auto"/>
            <w:vAlign w:val="bottom"/>
            <w:hideMark/>
          </w:tcPr>
          <w:p w14:paraId="0CA92739" w14:textId="77777777" w:rsidR="002E0925" w:rsidRPr="002E0925" w:rsidRDefault="002E0925" w:rsidP="002E0925">
            <w:pPr>
              <w:spacing w:after="0"/>
              <w:jc w:val="righ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 xml:space="preserve">$57,646 </w:t>
            </w:r>
          </w:p>
        </w:tc>
        <w:tc>
          <w:tcPr>
            <w:tcW w:w="1132" w:type="dxa"/>
            <w:tcBorders>
              <w:top w:val="single" w:sz="4" w:space="0" w:color="auto"/>
              <w:left w:val="nil"/>
              <w:bottom w:val="nil"/>
              <w:right w:val="nil"/>
            </w:tcBorders>
            <w:shd w:val="clear" w:color="auto" w:fill="auto"/>
            <w:vAlign w:val="bottom"/>
            <w:hideMark/>
          </w:tcPr>
          <w:p w14:paraId="50527027" w14:textId="77777777" w:rsidR="002E0925" w:rsidRPr="002E0925" w:rsidRDefault="002E0925" w:rsidP="002E0925">
            <w:pPr>
              <w:spacing w:after="0"/>
              <w:jc w:val="righ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 xml:space="preserve">$60,287 </w:t>
            </w:r>
          </w:p>
        </w:tc>
        <w:tc>
          <w:tcPr>
            <w:tcW w:w="1198" w:type="dxa"/>
            <w:tcBorders>
              <w:top w:val="single" w:sz="4" w:space="0" w:color="auto"/>
              <w:left w:val="nil"/>
              <w:bottom w:val="nil"/>
              <w:right w:val="nil"/>
            </w:tcBorders>
            <w:shd w:val="clear" w:color="auto" w:fill="auto"/>
            <w:vAlign w:val="bottom"/>
            <w:hideMark/>
          </w:tcPr>
          <w:p w14:paraId="05A555B9" w14:textId="77777777" w:rsidR="002E0925" w:rsidRPr="002E0925" w:rsidRDefault="002E0925" w:rsidP="002E0925">
            <w:pPr>
              <w:spacing w:after="0"/>
              <w:jc w:val="righ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 xml:space="preserve">$62,765 </w:t>
            </w:r>
          </w:p>
        </w:tc>
        <w:tc>
          <w:tcPr>
            <w:tcW w:w="1037" w:type="dxa"/>
            <w:tcBorders>
              <w:top w:val="single" w:sz="4" w:space="0" w:color="auto"/>
              <w:left w:val="nil"/>
              <w:bottom w:val="nil"/>
              <w:right w:val="nil"/>
            </w:tcBorders>
            <w:shd w:val="clear" w:color="auto" w:fill="auto"/>
            <w:vAlign w:val="bottom"/>
            <w:hideMark/>
          </w:tcPr>
          <w:p w14:paraId="32D64D9C" w14:textId="77777777" w:rsidR="002E0925" w:rsidRPr="002E0925" w:rsidRDefault="002E0925" w:rsidP="002E0925">
            <w:pPr>
              <w:spacing w:after="0"/>
              <w:jc w:val="righ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 xml:space="preserve">$65,171 </w:t>
            </w:r>
          </w:p>
        </w:tc>
        <w:tc>
          <w:tcPr>
            <w:tcW w:w="1037" w:type="dxa"/>
            <w:tcBorders>
              <w:top w:val="single" w:sz="4" w:space="0" w:color="auto"/>
              <w:left w:val="nil"/>
              <w:bottom w:val="nil"/>
              <w:right w:val="nil"/>
            </w:tcBorders>
            <w:shd w:val="clear" w:color="auto" w:fill="auto"/>
            <w:vAlign w:val="bottom"/>
            <w:hideMark/>
          </w:tcPr>
          <w:p w14:paraId="626C2460" w14:textId="77777777" w:rsidR="002E0925" w:rsidRPr="002E0925" w:rsidRDefault="002E0925" w:rsidP="002E0925">
            <w:pPr>
              <w:spacing w:after="0"/>
              <w:jc w:val="right"/>
              <w:rPr>
                <w:rFonts w:ascii="Calibri" w:eastAsia="Times New Roman" w:hAnsi="Calibri" w:cs="Times New Roman"/>
                <w:b/>
                <w:bCs/>
                <w:color w:val="000000"/>
                <w:sz w:val="20"/>
                <w:szCs w:val="20"/>
              </w:rPr>
            </w:pPr>
            <w:r w:rsidRPr="002E0925">
              <w:rPr>
                <w:rFonts w:ascii="Calibri" w:eastAsia="Times New Roman" w:hAnsi="Calibri" w:cs="Times New Roman"/>
                <w:b/>
                <w:bCs/>
                <w:color w:val="000000"/>
                <w:sz w:val="20"/>
                <w:szCs w:val="20"/>
              </w:rPr>
              <w:t xml:space="preserve">$67,587 </w:t>
            </w:r>
          </w:p>
        </w:tc>
      </w:tr>
      <w:tr w:rsidR="002E0925" w:rsidRPr="002E0925" w14:paraId="44C7716C" w14:textId="77777777" w:rsidTr="00061E5C">
        <w:trPr>
          <w:trHeight w:val="20"/>
        </w:trPr>
        <w:tc>
          <w:tcPr>
            <w:tcW w:w="2811" w:type="dxa"/>
            <w:tcBorders>
              <w:top w:val="nil"/>
              <w:left w:val="nil"/>
              <w:bottom w:val="single" w:sz="8" w:space="0" w:color="auto"/>
              <w:right w:val="nil"/>
            </w:tcBorders>
            <w:shd w:val="clear" w:color="auto" w:fill="auto"/>
            <w:vAlign w:val="bottom"/>
            <w:hideMark/>
          </w:tcPr>
          <w:p w14:paraId="78FE27D0" w14:textId="77777777" w:rsidR="002E0925" w:rsidRPr="002E0925" w:rsidRDefault="002E0925" w:rsidP="002E0925">
            <w:pPr>
              <w:spacing w:after="0"/>
              <w:jc w:val="lef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OMB</w:t>
            </w:r>
          </w:p>
        </w:tc>
        <w:tc>
          <w:tcPr>
            <w:tcW w:w="1132" w:type="dxa"/>
            <w:tcBorders>
              <w:top w:val="nil"/>
              <w:left w:val="nil"/>
              <w:bottom w:val="single" w:sz="8" w:space="0" w:color="auto"/>
              <w:right w:val="nil"/>
            </w:tcBorders>
            <w:shd w:val="clear" w:color="auto" w:fill="auto"/>
            <w:vAlign w:val="bottom"/>
            <w:hideMark/>
          </w:tcPr>
          <w:p w14:paraId="494A4C33"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$54,632 </w:t>
            </w:r>
          </w:p>
        </w:tc>
        <w:tc>
          <w:tcPr>
            <w:tcW w:w="1132" w:type="dxa"/>
            <w:tcBorders>
              <w:top w:val="nil"/>
              <w:left w:val="nil"/>
              <w:bottom w:val="single" w:sz="8" w:space="0" w:color="auto"/>
              <w:right w:val="nil"/>
            </w:tcBorders>
            <w:shd w:val="clear" w:color="auto" w:fill="auto"/>
            <w:vAlign w:val="bottom"/>
            <w:hideMark/>
          </w:tcPr>
          <w:p w14:paraId="425A2143"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$57,294 </w:t>
            </w:r>
          </w:p>
        </w:tc>
        <w:tc>
          <w:tcPr>
            <w:tcW w:w="1132" w:type="dxa"/>
            <w:tcBorders>
              <w:top w:val="nil"/>
              <w:left w:val="nil"/>
              <w:bottom w:val="single" w:sz="8" w:space="0" w:color="auto"/>
              <w:right w:val="nil"/>
            </w:tcBorders>
            <w:shd w:val="clear" w:color="auto" w:fill="auto"/>
            <w:vAlign w:val="bottom"/>
            <w:hideMark/>
          </w:tcPr>
          <w:p w14:paraId="16BACDED"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$59,999 </w:t>
            </w:r>
          </w:p>
        </w:tc>
        <w:tc>
          <w:tcPr>
            <w:tcW w:w="1198" w:type="dxa"/>
            <w:tcBorders>
              <w:top w:val="nil"/>
              <w:left w:val="nil"/>
              <w:bottom w:val="single" w:sz="8" w:space="0" w:color="auto"/>
              <w:right w:val="nil"/>
            </w:tcBorders>
            <w:shd w:val="clear" w:color="auto" w:fill="auto"/>
            <w:vAlign w:val="bottom"/>
            <w:hideMark/>
          </w:tcPr>
          <w:p w14:paraId="177AB49F"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$62,223 </w:t>
            </w:r>
          </w:p>
        </w:tc>
        <w:tc>
          <w:tcPr>
            <w:tcW w:w="1037" w:type="dxa"/>
            <w:tcBorders>
              <w:top w:val="nil"/>
              <w:left w:val="nil"/>
              <w:bottom w:val="single" w:sz="8" w:space="0" w:color="auto"/>
              <w:right w:val="nil"/>
            </w:tcBorders>
            <w:shd w:val="clear" w:color="auto" w:fill="auto"/>
            <w:vAlign w:val="bottom"/>
            <w:hideMark/>
          </w:tcPr>
          <w:p w14:paraId="59700217"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$64,582 </w:t>
            </w:r>
          </w:p>
        </w:tc>
        <w:tc>
          <w:tcPr>
            <w:tcW w:w="1037" w:type="dxa"/>
            <w:tcBorders>
              <w:top w:val="nil"/>
              <w:left w:val="nil"/>
              <w:bottom w:val="single" w:sz="8" w:space="0" w:color="auto"/>
              <w:right w:val="nil"/>
            </w:tcBorders>
            <w:shd w:val="clear" w:color="auto" w:fill="auto"/>
            <w:vAlign w:val="bottom"/>
            <w:hideMark/>
          </w:tcPr>
          <w:p w14:paraId="390D0D63" w14:textId="77777777" w:rsidR="002E0925" w:rsidRPr="002E0925" w:rsidRDefault="002E0925" w:rsidP="002E0925">
            <w:pPr>
              <w:spacing w:after="0"/>
              <w:jc w:val="right"/>
              <w:rPr>
                <w:rFonts w:ascii="Calibri" w:eastAsia="Times New Roman" w:hAnsi="Calibri" w:cs="Times New Roman"/>
                <w:color w:val="000000"/>
                <w:sz w:val="20"/>
                <w:szCs w:val="20"/>
              </w:rPr>
            </w:pPr>
            <w:r w:rsidRPr="002E0925">
              <w:rPr>
                <w:rFonts w:ascii="Calibri" w:eastAsia="Times New Roman" w:hAnsi="Calibri" w:cs="Times New Roman"/>
                <w:color w:val="000000"/>
                <w:sz w:val="20"/>
                <w:szCs w:val="20"/>
              </w:rPr>
              <w:t xml:space="preserve">$65,623 </w:t>
            </w:r>
          </w:p>
        </w:tc>
      </w:tr>
      <w:tr w:rsidR="00D34013" w:rsidRPr="002E0925" w14:paraId="49D35922" w14:textId="77777777" w:rsidTr="008A0968">
        <w:trPr>
          <w:trHeight w:val="20"/>
        </w:trPr>
        <w:tc>
          <w:tcPr>
            <w:tcW w:w="9479" w:type="dxa"/>
            <w:gridSpan w:val="7"/>
            <w:tcBorders>
              <w:top w:val="nil"/>
              <w:left w:val="nil"/>
              <w:bottom w:val="nil"/>
              <w:right w:val="nil"/>
            </w:tcBorders>
            <w:shd w:val="clear" w:color="auto" w:fill="auto"/>
            <w:vAlign w:val="bottom"/>
            <w:hideMark/>
          </w:tcPr>
          <w:p w14:paraId="013ADA3F" w14:textId="7C8278E9" w:rsidR="00D34013" w:rsidRPr="002E0925" w:rsidRDefault="00D34013" w:rsidP="00D34013">
            <w:pPr>
              <w:spacing w:after="0"/>
              <w:jc w:val="left"/>
              <w:rPr>
                <w:rFonts w:ascii="Times New Roman" w:eastAsia="Times New Roman" w:hAnsi="Times New Roman" w:cs="Times New Roman"/>
                <w:sz w:val="20"/>
                <w:szCs w:val="20"/>
              </w:rPr>
            </w:pPr>
            <w:r w:rsidRPr="002E0925">
              <w:rPr>
                <w:rFonts w:ascii="Calibri" w:eastAsia="Times New Roman" w:hAnsi="Calibri" w:cs="Times New Roman"/>
                <w:i/>
                <w:iCs/>
                <w:color w:val="000000"/>
                <w:sz w:val="20"/>
                <w:szCs w:val="20"/>
              </w:rPr>
              <w:t>*Actuals</w:t>
            </w:r>
          </w:p>
        </w:tc>
      </w:tr>
      <w:tr w:rsidR="00D34013" w:rsidRPr="002E0925" w14:paraId="7D11A58B" w14:textId="77777777" w:rsidTr="00081F56">
        <w:trPr>
          <w:trHeight w:val="20"/>
        </w:trPr>
        <w:tc>
          <w:tcPr>
            <w:tcW w:w="9479" w:type="dxa"/>
            <w:gridSpan w:val="7"/>
            <w:tcBorders>
              <w:top w:val="nil"/>
              <w:left w:val="nil"/>
              <w:bottom w:val="nil"/>
              <w:right w:val="nil"/>
            </w:tcBorders>
            <w:shd w:val="clear" w:color="auto" w:fill="auto"/>
            <w:noWrap/>
            <w:vAlign w:val="bottom"/>
            <w:hideMark/>
          </w:tcPr>
          <w:p w14:paraId="692CF721" w14:textId="5534461D" w:rsidR="00D34013" w:rsidRPr="002E0925" w:rsidRDefault="00D34013" w:rsidP="00D34013">
            <w:pPr>
              <w:spacing w:after="0"/>
              <w:jc w:val="left"/>
              <w:rPr>
                <w:rFonts w:ascii="Times New Roman" w:eastAsia="Times New Roman" w:hAnsi="Times New Roman" w:cs="Times New Roman"/>
                <w:sz w:val="20"/>
                <w:szCs w:val="20"/>
              </w:rPr>
            </w:pPr>
            <w:r w:rsidRPr="002E0925">
              <w:rPr>
                <w:rFonts w:ascii="Calibri" w:eastAsia="Times New Roman" w:hAnsi="Calibri" w:cs="Times New Roman"/>
                <w:b/>
                <w:bCs/>
                <w:i/>
                <w:iCs/>
                <w:color w:val="000000"/>
                <w:sz w:val="20"/>
                <w:szCs w:val="20"/>
              </w:rPr>
              <w:t>Source:</w:t>
            </w:r>
            <w:r w:rsidRPr="002E0925">
              <w:rPr>
                <w:rFonts w:ascii="Calibri" w:eastAsia="Times New Roman" w:hAnsi="Calibri" w:cs="Times New Roman"/>
                <w:i/>
                <w:iCs/>
                <w:color w:val="000000"/>
                <w:sz w:val="20"/>
                <w:szCs w:val="20"/>
              </w:rPr>
              <w:t xml:space="preserve"> New York City Council Finance Division Preliminary Budget Fiscal 2019</w:t>
            </w:r>
          </w:p>
        </w:tc>
      </w:tr>
    </w:tbl>
    <w:p w14:paraId="761E0D04" w14:textId="6432F65D" w:rsidR="00061E5C" w:rsidRDefault="00061E5C" w:rsidP="001B181A"/>
    <w:p w14:paraId="12223BB5" w14:textId="77777777" w:rsidR="00061E5C" w:rsidRDefault="00061E5C">
      <w:pPr>
        <w:spacing w:after="160" w:line="259" w:lineRule="auto"/>
        <w:jc w:val="left"/>
      </w:pPr>
      <w:r>
        <w:br w:type="page"/>
      </w:r>
    </w:p>
    <w:p w14:paraId="61AAA2D3" w14:textId="77777777" w:rsidR="003558D0" w:rsidRDefault="003558D0" w:rsidP="003558D0">
      <w:pPr>
        <w:widowControl w:val="0"/>
        <w:autoSpaceDE w:val="0"/>
        <w:autoSpaceDN w:val="0"/>
        <w:spacing w:after="0" w:line="20" w:lineRule="exact"/>
        <w:ind w:left="132"/>
        <w:jc w:val="left"/>
        <w:rPr>
          <w:rFonts w:ascii="Calibri Light" w:eastAsia="Cambria" w:hAnsi="Cambria" w:cs="Cambria"/>
          <w:sz w:val="2"/>
          <w:szCs w:val="24"/>
        </w:rPr>
      </w:pPr>
    </w:p>
    <w:p w14:paraId="3A9FBACC" w14:textId="77777777" w:rsidR="003558D0" w:rsidRDefault="003558D0" w:rsidP="003558D0">
      <w:pPr>
        <w:widowControl w:val="0"/>
        <w:autoSpaceDE w:val="0"/>
        <w:autoSpaceDN w:val="0"/>
        <w:spacing w:after="0" w:line="20" w:lineRule="exact"/>
        <w:ind w:left="132"/>
        <w:jc w:val="left"/>
        <w:rPr>
          <w:rFonts w:ascii="Calibri Light" w:eastAsia="Cambria" w:hAnsi="Cambria" w:cs="Cambria"/>
          <w:sz w:val="2"/>
          <w:szCs w:val="24"/>
        </w:rPr>
      </w:pPr>
    </w:p>
    <w:p w14:paraId="33B010C1" w14:textId="77777777" w:rsidR="003558D0" w:rsidRDefault="003558D0" w:rsidP="003558D0">
      <w:pPr>
        <w:widowControl w:val="0"/>
        <w:autoSpaceDE w:val="0"/>
        <w:autoSpaceDN w:val="0"/>
        <w:spacing w:after="0" w:line="20" w:lineRule="exact"/>
        <w:ind w:left="132"/>
        <w:jc w:val="left"/>
        <w:rPr>
          <w:rFonts w:ascii="Calibri Light" w:eastAsia="Cambria" w:hAnsi="Cambria" w:cs="Cambria"/>
          <w:sz w:val="2"/>
          <w:szCs w:val="24"/>
        </w:rPr>
      </w:pPr>
    </w:p>
    <w:p w14:paraId="7A37990B" w14:textId="24193507" w:rsidR="003558D0" w:rsidRDefault="003558D0" w:rsidP="003558D0">
      <w:pPr>
        <w:widowControl w:val="0"/>
        <w:autoSpaceDE w:val="0"/>
        <w:autoSpaceDN w:val="0"/>
        <w:spacing w:after="0" w:line="20" w:lineRule="exact"/>
        <w:ind w:left="132"/>
        <w:jc w:val="left"/>
        <w:rPr>
          <w:rFonts w:ascii="Calibri Light" w:eastAsia="Cambria" w:hAnsi="Cambria" w:cs="Cambria"/>
          <w:sz w:val="2"/>
          <w:szCs w:val="24"/>
        </w:rPr>
      </w:pPr>
    </w:p>
    <w:p w14:paraId="76140031" w14:textId="099F28C9" w:rsidR="003558D0" w:rsidRDefault="003558D0" w:rsidP="003558D0">
      <w:pPr>
        <w:widowControl w:val="0"/>
        <w:autoSpaceDE w:val="0"/>
        <w:autoSpaceDN w:val="0"/>
        <w:spacing w:after="0" w:line="20" w:lineRule="exact"/>
        <w:ind w:left="132"/>
        <w:jc w:val="left"/>
        <w:rPr>
          <w:rFonts w:ascii="Calibri Light" w:eastAsia="Cambria" w:hAnsi="Cambria" w:cs="Cambria"/>
          <w:sz w:val="2"/>
          <w:szCs w:val="24"/>
        </w:rPr>
      </w:pPr>
    </w:p>
    <w:p w14:paraId="26E05380" w14:textId="77D16C5C" w:rsidR="003558D0" w:rsidRDefault="003558D0" w:rsidP="003558D0">
      <w:pPr>
        <w:widowControl w:val="0"/>
        <w:autoSpaceDE w:val="0"/>
        <w:autoSpaceDN w:val="0"/>
        <w:spacing w:after="0" w:line="20" w:lineRule="exact"/>
        <w:jc w:val="left"/>
        <w:rPr>
          <w:rFonts w:ascii="Calibri Light" w:eastAsia="Cambria" w:hAnsi="Cambria" w:cs="Cambria"/>
          <w:sz w:val="2"/>
          <w:szCs w:val="24"/>
        </w:rPr>
      </w:pPr>
    </w:p>
    <w:tbl>
      <w:tblPr>
        <w:tblpPr w:leftFromText="180" w:rightFromText="180" w:vertAnchor="page" w:horzAnchor="margin" w:tblpY="1988"/>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960"/>
        <w:gridCol w:w="1209"/>
        <w:gridCol w:w="1080"/>
        <w:gridCol w:w="1080"/>
        <w:gridCol w:w="1080"/>
        <w:gridCol w:w="951"/>
      </w:tblGrid>
      <w:tr w:rsidR="00061E5C" w:rsidRPr="000C7CFC" w14:paraId="165FDC78" w14:textId="77777777" w:rsidTr="000054D2">
        <w:trPr>
          <w:trHeight w:val="20"/>
        </w:trPr>
        <w:tc>
          <w:tcPr>
            <w:tcW w:w="5000" w:type="pct"/>
            <w:gridSpan w:val="6"/>
            <w:tcBorders>
              <w:bottom w:val="single" w:sz="6" w:space="0" w:color="000000"/>
            </w:tcBorders>
          </w:tcPr>
          <w:p w14:paraId="2D03FA9C" w14:textId="77777777" w:rsidR="00061E5C" w:rsidRPr="00061E5C" w:rsidRDefault="00061E5C" w:rsidP="000054D2">
            <w:pPr>
              <w:pStyle w:val="TableParagraph"/>
              <w:jc w:val="both"/>
              <w:rPr>
                <w:rFonts w:asciiTheme="minorHAnsi" w:eastAsiaTheme="minorHAnsi" w:hAnsiTheme="minorHAnsi" w:cstheme="minorBidi"/>
                <w:b/>
                <w:sz w:val="20"/>
                <w:szCs w:val="20"/>
              </w:rPr>
            </w:pPr>
            <w:r w:rsidRPr="00061E5C">
              <w:rPr>
                <w:rFonts w:asciiTheme="minorHAnsi" w:eastAsiaTheme="minorHAnsi" w:hAnsiTheme="minorHAnsi" w:cstheme="minorBidi"/>
                <w:b/>
                <w:sz w:val="20"/>
                <w:szCs w:val="20"/>
              </w:rPr>
              <w:t>Preliminary Budget Fiscal 2019 – Revenue Plan</w:t>
            </w:r>
          </w:p>
          <w:p w14:paraId="0DB2908B" w14:textId="3BAE8EAD" w:rsidR="00061E5C" w:rsidRPr="00061E5C" w:rsidRDefault="00061E5C" w:rsidP="000054D2">
            <w:pPr>
              <w:pStyle w:val="TableParagraph"/>
              <w:jc w:val="both"/>
              <w:rPr>
                <w:b/>
                <w:i/>
                <w:sz w:val="20"/>
                <w:szCs w:val="20"/>
              </w:rPr>
            </w:pPr>
            <w:r>
              <w:rPr>
                <w:rFonts w:asciiTheme="minorHAnsi" w:eastAsiaTheme="minorHAnsi" w:hAnsiTheme="minorHAnsi" w:cstheme="minorBidi"/>
                <w:i/>
                <w:sz w:val="20"/>
                <w:szCs w:val="20"/>
              </w:rPr>
              <w:t>Dollars in Millions</w:t>
            </w:r>
          </w:p>
        </w:tc>
      </w:tr>
      <w:tr w:rsidR="00061E5C" w:rsidRPr="000C7CFC" w14:paraId="7BA69E82" w14:textId="77777777" w:rsidTr="000054D2">
        <w:trPr>
          <w:trHeight w:val="20"/>
        </w:trPr>
        <w:tc>
          <w:tcPr>
            <w:tcW w:w="2115" w:type="pct"/>
            <w:tcBorders>
              <w:top w:val="single" w:sz="6" w:space="0" w:color="000000"/>
            </w:tcBorders>
          </w:tcPr>
          <w:p w14:paraId="0790B91D" w14:textId="77777777" w:rsidR="00061E5C" w:rsidRPr="000C7CFC" w:rsidRDefault="00061E5C" w:rsidP="000054D2">
            <w:pPr>
              <w:pStyle w:val="TableParagraph"/>
              <w:spacing w:before="100" w:beforeAutospacing="1" w:after="100" w:afterAutospacing="1"/>
              <w:ind w:left="44"/>
              <w:jc w:val="left"/>
              <w:rPr>
                <w:b/>
                <w:sz w:val="20"/>
                <w:szCs w:val="20"/>
              </w:rPr>
            </w:pPr>
          </w:p>
        </w:tc>
        <w:tc>
          <w:tcPr>
            <w:tcW w:w="646" w:type="pct"/>
            <w:tcBorders>
              <w:top w:val="single" w:sz="6" w:space="0" w:color="000000"/>
            </w:tcBorders>
          </w:tcPr>
          <w:p w14:paraId="561A41FC" w14:textId="12B402C3" w:rsidR="00061E5C" w:rsidRPr="00061E5C" w:rsidRDefault="00061E5C" w:rsidP="000054D2">
            <w:pPr>
              <w:spacing w:before="100" w:beforeAutospacing="1" w:afterAutospacing="1"/>
              <w:jc w:val="center"/>
              <w:rPr>
                <w:b/>
                <w:sz w:val="20"/>
                <w:szCs w:val="20"/>
              </w:rPr>
            </w:pPr>
            <w:r w:rsidRPr="00061E5C">
              <w:rPr>
                <w:b/>
                <w:sz w:val="20"/>
                <w:szCs w:val="20"/>
              </w:rPr>
              <w:t>FY18</w:t>
            </w:r>
          </w:p>
        </w:tc>
        <w:tc>
          <w:tcPr>
            <w:tcW w:w="577" w:type="pct"/>
            <w:tcBorders>
              <w:top w:val="single" w:sz="6" w:space="0" w:color="000000"/>
            </w:tcBorders>
          </w:tcPr>
          <w:p w14:paraId="48624015" w14:textId="5398879F" w:rsidR="00061E5C" w:rsidRPr="00061E5C" w:rsidRDefault="00061E5C" w:rsidP="000054D2">
            <w:pPr>
              <w:spacing w:before="100" w:beforeAutospacing="1" w:afterAutospacing="1"/>
              <w:jc w:val="center"/>
              <w:rPr>
                <w:b/>
                <w:sz w:val="20"/>
                <w:szCs w:val="20"/>
              </w:rPr>
            </w:pPr>
            <w:r w:rsidRPr="00061E5C">
              <w:rPr>
                <w:b/>
                <w:sz w:val="20"/>
                <w:szCs w:val="20"/>
              </w:rPr>
              <w:t>FY19</w:t>
            </w:r>
          </w:p>
        </w:tc>
        <w:tc>
          <w:tcPr>
            <w:tcW w:w="577" w:type="pct"/>
            <w:tcBorders>
              <w:top w:val="single" w:sz="6" w:space="0" w:color="000000"/>
            </w:tcBorders>
          </w:tcPr>
          <w:p w14:paraId="7C412FCE" w14:textId="37B7570A" w:rsidR="00061E5C" w:rsidRPr="00061E5C" w:rsidRDefault="00061E5C" w:rsidP="000054D2">
            <w:pPr>
              <w:spacing w:before="100" w:beforeAutospacing="1" w:afterAutospacing="1"/>
              <w:jc w:val="center"/>
              <w:rPr>
                <w:b/>
                <w:sz w:val="20"/>
                <w:szCs w:val="20"/>
              </w:rPr>
            </w:pPr>
            <w:r w:rsidRPr="00061E5C">
              <w:rPr>
                <w:b/>
                <w:sz w:val="20"/>
                <w:szCs w:val="20"/>
              </w:rPr>
              <w:t>FY20</w:t>
            </w:r>
          </w:p>
        </w:tc>
        <w:tc>
          <w:tcPr>
            <w:tcW w:w="577" w:type="pct"/>
            <w:tcBorders>
              <w:top w:val="single" w:sz="6" w:space="0" w:color="000000"/>
            </w:tcBorders>
          </w:tcPr>
          <w:p w14:paraId="6BD3EB4B" w14:textId="6F7ED3CE" w:rsidR="00061E5C" w:rsidRPr="00061E5C" w:rsidRDefault="00061E5C" w:rsidP="000054D2">
            <w:pPr>
              <w:spacing w:before="100" w:beforeAutospacing="1" w:afterAutospacing="1"/>
              <w:jc w:val="center"/>
              <w:rPr>
                <w:b/>
                <w:sz w:val="20"/>
                <w:szCs w:val="20"/>
              </w:rPr>
            </w:pPr>
            <w:r w:rsidRPr="00061E5C">
              <w:rPr>
                <w:b/>
                <w:sz w:val="20"/>
                <w:szCs w:val="20"/>
              </w:rPr>
              <w:t>FY21</w:t>
            </w:r>
          </w:p>
        </w:tc>
        <w:tc>
          <w:tcPr>
            <w:tcW w:w="508" w:type="pct"/>
            <w:tcBorders>
              <w:top w:val="single" w:sz="6" w:space="0" w:color="000000"/>
            </w:tcBorders>
          </w:tcPr>
          <w:p w14:paraId="3BF68705" w14:textId="5B2FE15D" w:rsidR="00061E5C" w:rsidRPr="00061E5C" w:rsidRDefault="00061E5C" w:rsidP="000054D2">
            <w:pPr>
              <w:spacing w:before="100" w:beforeAutospacing="1" w:afterAutospacing="1"/>
              <w:jc w:val="center"/>
              <w:rPr>
                <w:b/>
                <w:sz w:val="20"/>
                <w:szCs w:val="20"/>
              </w:rPr>
            </w:pPr>
            <w:r w:rsidRPr="00061E5C">
              <w:rPr>
                <w:b/>
                <w:sz w:val="20"/>
                <w:szCs w:val="20"/>
              </w:rPr>
              <w:t>FY22</w:t>
            </w:r>
          </w:p>
        </w:tc>
      </w:tr>
      <w:tr w:rsidR="003558D0" w:rsidRPr="000C7CFC" w14:paraId="7DB11704" w14:textId="77777777" w:rsidTr="000054D2">
        <w:trPr>
          <w:trHeight w:val="20"/>
        </w:trPr>
        <w:tc>
          <w:tcPr>
            <w:tcW w:w="2115" w:type="pct"/>
            <w:tcBorders>
              <w:top w:val="single" w:sz="6" w:space="0" w:color="000000"/>
            </w:tcBorders>
          </w:tcPr>
          <w:p w14:paraId="7699B55E" w14:textId="77777777" w:rsidR="003558D0" w:rsidRPr="000C7CFC" w:rsidRDefault="003558D0" w:rsidP="000054D2">
            <w:pPr>
              <w:pStyle w:val="TableParagraph"/>
              <w:spacing w:before="100" w:beforeAutospacing="1" w:after="100" w:afterAutospacing="1"/>
              <w:ind w:left="44"/>
              <w:jc w:val="left"/>
              <w:rPr>
                <w:b/>
                <w:sz w:val="20"/>
                <w:szCs w:val="20"/>
              </w:rPr>
            </w:pPr>
            <w:r w:rsidRPr="000C7CFC">
              <w:rPr>
                <w:b/>
                <w:sz w:val="20"/>
                <w:szCs w:val="20"/>
              </w:rPr>
              <w:t>Taxes</w:t>
            </w:r>
          </w:p>
        </w:tc>
        <w:tc>
          <w:tcPr>
            <w:tcW w:w="646" w:type="pct"/>
            <w:tcBorders>
              <w:top w:val="single" w:sz="6" w:space="0" w:color="000000"/>
            </w:tcBorders>
          </w:tcPr>
          <w:p w14:paraId="01CFC5D2" w14:textId="77777777" w:rsidR="003558D0" w:rsidRPr="000C7CFC" w:rsidRDefault="003558D0" w:rsidP="000054D2">
            <w:pPr>
              <w:spacing w:before="100" w:beforeAutospacing="1" w:afterAutospacing="1"/>
              <w:rPr>
                <w:sz w:val="20"/>
                <w:szCs w:val="20"/>
              </w:rPr>
            </w:pPr>
          </w:p>
        </w:tc>
        <w:tc>
          <w:tcPr>
            <w:tcW w:w="577" w:type="pct"/>
            <w:tcBorders>
              <w:top w:val="single" w:sz="6" w:space="0" w:color="000000"/>
            </w:tcBorders>
          </w:tcPr>
          <w:p w14:paraId="1AE4C7B5" w14:textId="77777777" w:rsidR="003558D0" w:rsidRPr="000C7CFC" w:rsidRDefault="003558D0" w:rsidP="000054D2">
            <w:pPr>
              <w:spacing w:before="100" w:beforeAutospacing="1" w:afterAutospacing="1"/>
              <w:rPr>
                <w:sz w:val="20"/>
                <w:szCs w:val="20"/>
              </w:rPr>
            </w:pPr>
          </w:p>
        </w:tc>
        <w:tc>
          <w:tcPr>
            <w:tcW w:w="577" w:type="pct"/>
            <w:tcBorders>
              <w:top w:val="single" w:sz="6" w:space="0" w:color="000000"/>
            </w:tcBorders>
          </w:tcPr>
          <w:p w14:paraId="55CE29FF" w14:textId="77777777" w:rsidR="003558D0" w:rsidRPr="000C7CFC" w:rsidRDefault="003558D0" w:rsidP="000054D2">
            <w:pPr>
              <w:spacing w:before="100" w:beforeAutospacing="1" w:afterAutospacing="1"/>
              <w:rPr>
                <w:sz w:val="20"/>
                <w:szCs w:val="20"/>
              </w:rPr>
            </w:pPr>
          </w:p>
        </w:tc>
        <w:tc>
          <w:tcPr>
            <w:tcW w:w="577" w:type="pct"/>
            <w:tcBorders>
              <w:top w:val="single" w:sz="6" w:space="0" w:color="000000"/>
            </w:tcBorders>
          </w:tcPr>
          <w:p w14:paraId="612DF1CD" w14:textId="77777777" w:rsidR="003558D0" w:rsidRPr="000C7CFC" w:rsidRDefault="003558D0" w:rsidP="000054D2">
            <w:pPr>
              <w:spacing w:before="100" w:beforeAutospacing="1" w:afterAutospacing="1"/>
              <w:rPr>
                <w:sz w:val="20"/>
                <w:szCs w:val="20"/>
              </w:rPr>
            </w:pPr>
          </w:p>
        </w:tc>
        <w:tc>
          <w:tcPr>
            <w:tcW w:w="508" w:type="pct"/>
            <w:tcBorders>
              <w:top w:val="single" w:sz="6" w:space="0" w:color="000000"/>
            </w:tcBorders>
          </w:tcPr>
          <w:p w14:paraId="3AA24154" w14:textId="77777777" w:rsidR="003558D0" w:rsidRPr="000C7CFC" w:rsidRDefault="003558D0" w:rsidP="000054D2">
            <w:pPr>
              <w:spacing w:before="100" w:beforeAutospacing="1" w:afterAutospacing="1"/>
              <w:rPr>
                <w:sz w:val="20"/>
                <w:szCs w:val="20"/>
              </w:rPr>
            </w:pPr>
          </w:p>
        </w:tc>
      </w:tr>
      <w:tr w:rsidR="003558D0" w:rsidRPr="000C7CFC" w14:paraId="2861C0EF" w14:textId="77777777" w:rsidTr="000054D2">
        <w:trPr>
          <w:trHeight w:val="20"/>
        </w:trPr>
        <w:tc>
          <w:tcPr>
            <w:tcW w:w="2115" w:type="pct"/>
          </w:tcPr>
          <w:p w14:paraId="0DCCFD0D"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Real Estate</w:t>
            </w:r>
          </w:p>
        </w:tc>
        <w:tc>
          <w:tcPr>
            <w:tcW w:w="646" w:type="pct"/>
          </w:tcPr>
          <w:p w14:paraId="0C14944C" w14:textId="77777777" w:rsidR="003558D0" w:rsidRPr="000C7CFC" w:rsidRDefault="003558D0" w:rsidP="000054D2">
            <w:pPr>
              <w:spacing w:before="100" w:beforeAutospacing="1" w:afterAutospacing="1"/>
              <w:jc w:val="right"/>
              <w:rPr>
                <w:sz w:val="20"/>
                <w:szCs w:val="20"/>
              </w:rPr>
            </w:pPr>
            <w:r w:rsidRPr="000C7CFC">
              <w:rPr>
                <w:sz w:val="20"/>
                <w:szCs w:val="20"/>
              </w:rPr>
              <w:t>$26,080</w:t>
            </w:r>
          </w:p>
        </w:tc>
        <w:tc>
          <w:tcPr>
            <w:tcW w:w="577" w:type="pct"/>
          </w:tcPr>
          <w:p w14:paraId="0C89E069" w14:textId="77777777" w:rsidR="003558D0" w:rsidRPr="000C7CFC" w:rsidRDefault="003558D0" w:rsidP="000054D2">
            <w:pPr>
              <w:spacing w:before="100" w:beforeAutospacing="1" w:afterAutospacing="1"/>
              <w:jc w:val="right"/>
              <w:rPr>
                <w:sz w:val="20"/>
                <w:szCs w:val="20"/>
              </w:rPr>
            </w:pPr>
            <w:r w:rsidRPr="000C7CFC">
              <w:rPr>
                <w:sz w:val="20"/>
                <w:szCs w:val="20"/>
              </w:rPr>
              <w:t>$27,674</w:t>
            </w:r>
          </w:p>
        </w:tc>
        <w:tc>
          <w:tcPr>
            <w:tcW w:w="577" w:type="pct"/>
          </w:tcPr>
          <w:p w14:paraId="2072C37C" w14:textId="77777777" w:rsidR="003558D0" w:rsidRPr="000C7CFC" w:rsidRDefault="003558D0" w:rsidP="000054D2">
            <w:pPr>
              <w:spacing w:before="100" w:beforeAutospacing="1" w:afterAutospacing="1"/>
              <w:jc w:val="right"/>
              <w:rPr>
                <w:sz w:val="20"/>
                <w:szCs w:val="20"/>
              </w:rPr>
            </w:pPr>
            <w:r w:rsidRPr="000C7CFC">
              <w:rPr>
                <w:sz w:val="20"/>
                <w:szCs w:val="20"/>
              </w:rPr>
              <w:t>$29,154</w:t>
            </w:r>
          </w:p>
        </w:tc>
        <w:tc>
          <w:tcPr>
            <w:tcW w:w="577" w:type="pct"/>
          </w:tcPr>
          <w:p w14:paraId="6DC22D62" w14:textId="77777777" w:rsidR="003558D0" w:rsidRPr="000C7CFC" w:rsidRDefault="003558D0" w:rsidP="000054D2">
            <w:pPr>
              <w:spacing w:before="100" w:beforeAutospacing="1" w:afterAutospacing="1"/>
              <w:jc w:val="right"/>
              <w:rPr>
                <w:sz w:val="20"/>
                <w:szCs w:val="20"/>
              </w:rPr>
            </w:pPr>
            <w:r w:rsidRPr="000C7CFC">
              <w:rPr>
                <w:sz w:val="20"/>
                <w:szCs w:val="20"/>
              </w:rPr>
              <w:t>$30,438</w:t>
            </w:r>
          </w:p>
        </w:tc>
        <w:tc>
          <w:tcPr>
            <w:tcW w:w="508" w:type="pct"/>
          </w:tcPr>
          <w:p w14:paraId="4D53F16D" w14:textId="77777777" w:rsidR="003558D0" w:rsidRPr="000C7CFC" w:rsidRDefault="003558D0" w:rsidP="000054D2">
            <w:pPr>
              <w:spacing w:before="100" w:beforeAutospacing="1" w:afterAutospacing="1"/>
              <w:jc w:val="right"/>
              <w:rPr>
                <w:sz w:val="20"/>
                <w:szCs w:val="20"/>
              </w:rPr>
            </w:pPr>
            <w:r w:rsidRPr="000C7CFC">
              <w:rPr>
                <w:sz w:val="20"/>
                <w:szCs w:val="20"/>
              </w:rPr>
              <w:t>$30,721</w:t>
            </w:r>
          </w:p>
        </w:tc>
      </w:tr>
      <w:tr w:rsidR="003558D0" w:rsidRPr="000C7CFC" w14:paraId="12C7B9FC" w14:textId="77777777" w:rsidTr="000054D2">
        <w:trPr>
          <w:trHeight w:val="20"/>
        </w:trPr>
        <w:tc>
          <w:tcPr>
            <w:tcW w:w="2115" w:type="pct"/>
          </w:tcPr>
          <w:p w14:paraId="49335E99"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Sales</w:t>
            </w:r>
          </w:p>
        </w:tc>
        <w:tc>
          <w:tcPr>
            <w:tcW w:w="646" w:type="pct"/>
          </w:tcPr>
          <w:p w14:paraId="52C10240" w14:textId="77777777" w:rsidR="003558D0" w:rsidRPr="000C7CFC" w:rsidRDefault="003558D0" w:rsidP="000054D2">
            <w:pPr>
              <w:spacing w:before="100" w:beforeAutospacing="1" w:afterAutospacing="1"/>
              <w:jc w:val="right"/>
              <w:rPr>
                <w:sz w:val="20"/>
                <w:szCs w:val="20"/>
              </w:rPr>
            </w:pPr>
            <w:r w:rsidRPr="000C7CFC">
              <w:rPr>
                <w:sz w:val="20"/>
                <w:szCs w:val="20"/>
              </w:rPr>
              <w:t>7,340</w:t>
            </w:r>
          </w:p>
        </w:tc>
        <w:tc>
          <w:tcPr>
            <w:tcW w:w="577" w:type="pct"/>
          </w:tcPr>
          <w:p w14:paraId="518035F4" w14:textId="77777777" w:rsidR="003558D0" w:rsidRPr="000C7CFC" w:rsidRDefault="003558D0" w:rsidP="000054D2">
            <w:pPr>
              <w:spacing w:before="100" w:beforeAutospacing="1" w:afterAutospacing="1"/>
              <w:jc w:val="right"/>
              <w:rPr>
                <w:sz w:val="20"/>
                <w:szCs w:val="20"/>
              </w:rPr>
            </w:pPr>
            <w:r w:rsidRPr="000C7CFC">
              <w:rPr>
                <w:sz w:val="20"/>
                <w:szCs w:val="20"/>
              </w:rPr>
              <w:t>7,906</w:t>
            </w:r>
          </w:p>
        </w:tc>
        <w:tc>
          <w:tcPr>
            <w:tcW w:w="577" w:type="pct"/>
          </w:tcPr>
          <w:p w14:paraId="3EA2B047" w14:textId="77777777" w:rsidR="003558D0" w:rsidRPr="000C7CFC" w:rsidRDefault="003558D0" w:rsidP="000054D2">
            <w:pPr>
              <w:spacing w:before="100" w:beforeAutospacing="1" w:afterAutospacing="1"/>
              <w:jc w:val="right"/>
              <w:rPr>
                <w:sz w:val="20"/>
                <w:szCs w:val="20"/>
              </w:rPr>
            </w:pPr>
            <w:r w:rsidRPr="000C7CFC">
              <w:rPr>
                <w:sz w:val="20"/>
                <w:szCs w:val="20"/>
              </w:rPr>
              <w:t>8,227</w:t>
            </w:r>
          </w:p>
        </w:tc>
        <w:tc>
          <w:tcPr>
            <w:tcW w:w="577" w:type="pct"/>
          </w:tcPr>
          <w:p w14:paraId="02515715" w14:textId="77777777" w:rsidR="003558D0" w:rsidRPr="000C7CFC" w:rsidRDefault="003558D0" w:rsidP="000054D2">
            <w:pPr>
              <w:spacing w:before="100" w:beforeAutospacing="1" w:afterAutospacing="1"/>
              <w:jc w:val="right"/>
              <w:rPr>
                <w:sz w:val="20"/>
                <w:szCs w:val="20"/>
              </w:rPr>
            </w:pPr>
            <w:r w:rsidRPr="000C7CFC">
              <w:rPr>
                <w:sz w:val="20"/>
                <w:szCs w:val="20"/>
              </w:rPr>
              <w:t>8,577</w:t>
            </w:r>
          </w:p>
        </w:tc>
        <w:tc>
          <w:tcPr>
            <w:tcW w:w="508" w:type="pct"/>
          </w:tcPr>
          <w:p w14:paraId="05867874" w14:textId="77777777" w:rsidR="003558D0" w:rsidRPr="000C7CFC" w:rsidRDefault="003558D0" w:rsidP="000054D2">
            <w:pPr>
              <w:spacing w:before="100" w:beforeAutospacing="1" w:afterAutospacing="1"/>
              <w:jc w:val="right"/>
              <w:rPr>
                <w:sz w:val="20"/>
                <w:szCs w:val="20"/>
              </w:rPr>
            </w:pPr>
            <w:r w:rsidRPr="000C7CFC">
              <w:rPr>
                <w:sz w:val="20"/>
                <w:szCs w:val="20"/>
              </w:rPr>
              <w:t>8,712</w:t>
            </w:r>
          </w:p>
        </w:tc>
      </w:tr>
      <w:tr w:rsidR="003558D0" w:rsidRPr="000C7CFC" w14:paraId="3632698B" w14:textId="77777777" w:rsidTr="000054D2">
        <w:trPr>
          <w:trHeight w:val="20"/>
        </w:trPr>
        <w:tc>
          <w:tcPr>
            <w:tcW w:w="2115" w:type="pct"/>
          </w:tcPr>
          <w:p w14:paraId="1336B9BA"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Mortgage Recording</w:t>
            </w:r>
          </w:p>
        </w:tc>
        <w:tc>
          <w:tcPr>
            <w:tcW w:w="646" w:type="pct"/>
          </w:tcPr>
          <w:p w14:paraId="357FE036" w14:textId="77777777" w:rsidR="003558D0" w:rsidRPr="000C7CFC" w:rsidRDefault="003558D0" w:rsidP="000054D2">
            <w:pPr>
              <w:spacing w:before="100" w:beforeAutospacing="1" w:afterAutospacing="1"/>
              <w:jc w:val="right"/>
              <w:rPr>
                <w:sz w:val="20"/>
                <w:szCs w:val="20"/>
              </w:rPr>
            </w:pPr>
            <w:r w:rsidRPr="000C7CFC">
              <w:rPr>
                <w:sz w:val="20"/>
                <w:szCs w:val="20"/>
              </w:rPr>
              <w:t>966</w:t>
            </w:r>
          </w:p>
        </w:tc>
        <w:tc>
          <w:tcPr>
            <w:tcW w:w="577" w:type="pct"/>
          </w:tcPr>
          <w:p w14:paraId="05C94C54" w14:textId="77777777" w:rsidR="003558D0" w:rsidRPr="000C7CFC" w:rsidRDefault="003558D0" w:rsidP="000054D2">
            <w:pPr>
              <w:spacing w:before="100" w:beforeAutospacing="1" w:afterAutospacing="1"/>
              <w:jc w:val="right"/>
              <w:rPr>
                <w:sz w:val="20"/>
                <w:szCs w:val="20"/>
              </w:rPr>
            </w:pPr>
            <w:r w:rsidRPr="000C7CFC">
              <w:rPr>
                <w:sz w:val="20"/>
                <w:szCs w:val="20"/>
              </w:rPr>
              <w:t>928</w:t>
            </w:r>
          </w:p>
        </w:tc>
        <w:tc>
          <w:tcPr>
            <w:tcW w:w="577" w:type="pct"/>
          </w:tcPr>
          <w:p w14:paraId="1681E013" w14:textId="77777777" w:rsidR="003558D0" w:rsidRPr="000C7CFC" w:rsidRDefault="003558D0" w:rsidP="000054D2">
            <w:pPr>
              <w:spacing w:before="100" w:beforeAutospacing="1" w:afterAutospacing="1"/>
              <w:jc w:val="right"/>
              <w:rPr>
                <w:sz w:val="20"/>
                <w:szCs w:val="20"/>
              </w:rPr>
            </w:pPr>
            <w:r w:rsidRPr="000C7CFC">
              <w:rPr>
                <w:sz w:val="20"/>
                <w:szCs w:val="20"/>
              </w:rPr>
              <w:t>943</w:t>
            </w:r>
          </w:p>
        </w:tc>
        <w:tc>
          <w:tcPr>
            <w:tcW w:w="577" w:type="pct"/>
          </w:tcPr>
          <w:p w14:paraId="0F7DFD2A" w14:textId="77777777" w:rsidR="003558D0" w:rsidRPr="000C7CFC" w:rsidRDefault="003558D0" w:rsidP="000054D2">
            <w:pPr>
              <w:spacing w:before="100" w:beforeAutospacing="1" w:afterAutospacing="1"/>
              <w:jc w:val="right"/>
              <w:rPr>
                <w:sz w:val="20"/>
                <w:szCs w:val="20"/>
              </w:rPr>
            </w:pPr>
            <w:r w:rsidRPr="000C7CFC">
              <w:rPr>
                <w:sz w:val="20"/>
                <w:szCs w:val="20"/>
              </w:rPr>
              <w:t>954</w:t>
            </w:r>
          </w:p>
        </w:tc>
        <w:tc>
          <w:tcPr>
            <w:tcW w:w="508" w:type="pct"/>
          </w:tcPr>
          <w:p w14:paraId="6F65F9F0" w14:textId="77777777" w:rsidR="003558D0" w:rsidRPr="000C7CFC" w:rsidRDefault="003558D0" w:rsidP="000054D2">
            <w:pPr>
              <w:spacing w:before="100" w:beforeAutospacing="1" w:afterAutospacing="1"/>
              <w:jc w:val="right"/>
              <w:rPr>
                <w:sz w:val="20"/>
                <w:szCs w:val="20"/>
              </w:rPr>
            </w:pPr>
            <w:r w:rsidRPr="000C7CFC">
              <w:rPr>
                <w:sz w:val="20"/>
                <w:szCs w:val="20"/>
              </w:rPr>
              <w:t>974</w:t>
            </w:r>
          </w:p>
        </w:tc>
      </w:tr>
      <w:tr w:rsidR="003558D0" w:rsidRPr="000C7CFC" w14:paraId="684702AF" w14:textId="77777777" w:rsidTr="000054D2">
        <w:trPr>
          <w:trHeight w:val="20"/>
        </w:trPr>
        <w:tc>
          <w:tcPr>
            <w:tcW w:w="2115" w:type="pct"/>
          </w:tcPr>
          <w:p w14:paraId="4707CEFD"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Personal Income</w:t>
            </w:r>
          </w:p>
        </w:tc>
        <w:tc>
          <w:tcPr>
            <w:tcW w:w="646" w:type="pct"/>
          </w:tcPr>
          <w:p w14:paraId="119CA36B" w14:textId="77777777" w:rsidR="003558D0" w:rsidRPr="000C7CFC" w:rsidRDefault="003558D0" w:rsidP="000054D2">
            <w:pPr>
              <w:spacing w:before="100" w:beforeAutospacing="1" w:afterAutospacing="1"/>
              <w:jc w:val="right"/>
              <w:rPr>
                <w:sz w:val="20"/>
                <w:szCs w:val="20"/>
              </w:rPr>
            </w:pPr>
            <w:r w:rsidRPr="000C7CFC">
              <w:rPr>
                <w:sz w:val="20"/>
                <w:szCs w:val="20"/>
              </w:rPr>
              <w:t>11,857</w:t>
            </w:r>
          </w:p>
        </w:tc>
        <w:tc>
          <w:tcPr>
            <w:tcW w:w="577" w:type="pct"/>
          </w:tcPr>
          <w:p w14:paraId="4135FBBD" w14:textId="77777777" w:rsidR="003558D0" w:rsidRPr="000C7CFC" w:rsidRDefault="003558D0" w:rsidP="000054D2">
            <w:pPr>
              <w:spacing w:before="100" w:beforeAutospacing="1" w:afterAutospacing="1"/>
              <w:jc w:val="right"/>
              <w:rPr>
                <w:sz w:val="20"/>
                <w:szCs w:val="20"/>
              </w:rPr>
            </w:pPr>
            <w:r w:rsidRPr="000C7CFC">
              <w:rPr>
                <w:sz w:val="20"/>
                <w:szCs w:val="20"/>
              </w:rPr>
              <w:t>12,184</w:t>
            </w:r>
          </w:p>
        </w:tc>
        <w:tc>
          <w:tcPr>
            <w:tcW w:w="577" w:type="pct"/>
          </w:tcPr>
          <w:p w14:paraId="4F076085" w14:textId="77777777" w:rsidR="003558D0" w:rsidRPr="000C7CFC" w:rsidRDefault="003558D0" w:rsidP="000054D2">
            <w:pPr>
              <w:spacing w:before="100" w:beforeAutospacing="1" w:afterAutospacing="1"/>
              <w:jc w:val="right"/>
              <w:rPr>
                <w:sz w:val="20"/>
                <w:szCs w:val="20"/>
              </w:rPr>
            </w:pPr>
            <w:r w:rsidRPr="000C7CFC">
              <w:rPr>
                <w:sz w:val="20"/>
                <w:szCs w:val="20"/>
              </w:rPr>
              <w:t>12,756</w:t>
            </w:r>
          </w:p>
        </w:tc>
        <w:tc>
          <w:tcPr>
            <w:tcW w:w="577" w:type="pct"/>
          </w:tcPr>
          <w:p w14:paraId="690EA681" w14:textId="77777777" w:rsidR="003558D0" w:rsidRPr="000C7CFC" w:rsidRDefault="003558D0" w:rsidP="000054D2">
            <w:pPr>
              <w:spacing w:before="100" w:beforeAutospacing="1" w:afterAutospacing="1"/>
              <w:jc w:val="right"/>
              <w:rPr>
                <w:sz w:val="20"/>
                <w:szCs w:val="20"/>
              </w:rPr>
            </w:pPr>
            <w:r w:rsidRPr="000C7CFC">
              <w:rPr>
                <w:sz w:val="20"/>
                <w:szCs w:val="20"/>
              </w:rPr>
              <w:t>13,270</w:t>
            </w:r>
          </w:p>
        </w:tc>
        <w:tc>
          <w:tcPr>
            <w:tcW w:w="508" w:type="pct"/>
          </w:tcPr>
          <w:p w14:paraId="72169B0C" w14:textId="77777777" w:rsidR="003558D0" w:rsidRPr="000C7CFC" w:rsidRDefault="003558D0" w:rsidP="000054D2">
            <w:pPr>
              <w:spacing w:before="100" w:beforeAutospacing="1" w:afterAutospacing="1"/>
              <w:jc w:val="right"/>
              <w:rPr>
                <w:sz w:val="20"/>
                <w:szCs w:val="20"/>
              </w:rPr>
            </w:pPr>
            <w:r w:rsidRPr="000C7CFC">
              <w:rPr>
                <w:sz w:val="20"/>
                <w:szCs w:val="20"/>
              </w:rPr>
              <w:t>13,706</w:t>
            </w:r>
          </w:p>
        </w:tc>
      </w:tr>
      <w:tr w:rsidR="003558D0" w:rsidRPr="000C7CFC" w14:paraId="540774E5" w14:textId="77777777" w:rsidTr="000054D2">
        <w:trPr>
          <w:trHeight w:val="20"/>
        </w:trPr>
        <w:tc>
          <w:tcPr>
            <w:tcW w:w="2115" w:type="pct"/>
          </w:tcPr>
          <w:p w14:paraId="073EE000"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General  Corporation</w:t>
            </w:r>
          </w:p>
        </w:tc>
        <w:tc>
          <w:tcPr>
            <w:tcW w:w="646" w:type="pct"/>
          </w:tcPr>
          <w:p w14:paraId="12240D1C" w14:textId="77777777" w:rsidR="003558D0" w:rsidRPr="000C7CFC" w:rsidRDefault="003558D0" w:rsidP="000054D2">
            <w:pPr>
              <w:spacing w:before="100" w:beforeAutospacing="1" w:afterAutospacing="1"/>
              <w:jc w:val="right"/>
              <w:rPr>
                <w:sz w:val="20"/>
                <w:szCs w:val="20"/>
              </w:rPr>
            </w:pPr>
            <w:r w:rsidRPr="000C7CFC">
              <w:rPr>
                <w:sz w:val="20"/>
                <w:szCs w:val="20"/>
              </w:rPr>
              <w:t>3,410</w:t>
            </w:r>
          </w:p>
        </w:tc>
        <w:tc>
          <w:tcPr>
            <w:tcW w:w="577" w:type="pct"/>
          </w:tcPr>
          <w:p w14:paraId="0C17ABFD" w14:textId="77777777" w:rsidR="003558D0" w:rsidRPr="000C7CFC" w:rsidRDefault="003558D0" w:rsidP="000054D2">
            <w:pPr>
              <w:spacing w:before="100" w:beforeAutospacing="1" w:afterAutospacing="1"/>
              <w:jc w:val="right"/>
              <w:rPr>
                <w:sz w:val="20"/>
                <w:szCs w:val="20"/>
              </w:rPr>
            </w:pPr>
            <w:r w:rsidRPr="000C7CFC">
              <w:rPr>
                <w:sz w:val="20"/>
                <w:szCs w:val="20"/>
              </w:rPr>
              <w:t>3,714</w:t>
            </w:r>
          </w:p>
        </w:tc>
        <w:tc>
          <w:tcPr>
            <w:tcW w:w="577" w:type="pct"/>
          </w:tcPr>
          <w:p w14:paraId="032DC0F6" w14:textId="77777777" w:rsidR="003558D0" w:rsidRPr="000C7CFC" w:rsidRDefault="003558D0" w:rsidP="000054D2">
            <w:pPr>
              <w:spacing w:before="100" w:beforeAutospacing="1" w:afterAutospacing="1"/>
              <w:jc w:val="right"/>
              <w:rPr>
                <w:sz w:val="20"/>
                <w:szCs w:val="20"/>
              </w:rPr>
            </w:pPr>
            <w:r w:rsidRPr="000C7CFC">
              <w:rPr>
                <w:sz w:val="20"/>
                <w:szCs w:val="20"/>
              </w:rPr>
              <w:t>3,719</w:t>
            </w:r>
          </w:p>
        </w:tc>
        <w:tc>
          <w:tcPr>
            <w:tcW w:w="577" w:type="pct"/>
          </w:tcPr>
          <w:p w14:paraId="0D504BC0" w14:textId="77777777" w:rsidR="003558D0" w:rsidRPr="000C7CFC" w:rsidRDefault="003558D0" w:rsidP="000054D2">
            <w:pPr>
              <w:spacing w:before="100" w:beforeAutospacing="1" w:afterAutospacing="1"/>
              <w:jc w:val="right"/>
              <w:rPr>
                <w:sz w:val="20"/>
                <w:szCs w:val="20"/>
              </w:rPr>
            </w:pPr>
            <w:r w:rsidRPr="000C7CFC">
              <w:rPr>
                <w:sz w:val="20"/>
                <w:szCs w:val="20"/>
              </w:rPr>
              <w:t>3,736</w:t>
            </w:r>
          </w:p>
        </w:tc>
        <w:tc>
          <w:tcPr>
            <w:tcW w:w="508" w:type="pct"/>
          </w:tcPr>
          <w:p w14:paraId="5C76C8F0" w14:textId="77777777" w:rsidR="003558D0" w:rsidRPr="000C7CFC" w:rsidRDefault="003558D0" w:rsidP="000054D2">
            <w:pPr>
              <w:spacing w:before="100" w:beforeAutospacing="1" w:afterAutospacing="1"/>
              <w:jc w:val="right"/>
              <w:rPr>
                <w:sz w:val="20"/>
                <w:szCs w:val="20"/>
              </w:rPr>
            </w:pPr>
            <w:r w:rsidRPr="000C7CFC">
              <w:rPr>
                <w:sz w:val="20"/>
                <w:szCs w:val="20"/>
              </w:rPr>
              <w:t>3,767</w:t>
            </w:r>
          </w:p>
        </w:tc>
      </w:tr>
      <w:tr w:rsidR="003558D0" w:rsidRPr="000C7CFC" w14:paraId="749AED8C" w14:textId="77777777" w:rsidTr="000054D2">
        <w:trPr>
          <w:trHeight w:val="20"/>
        </w:trPr>
        <w:tc>
          <w:tcPr>
            <w:tcW w:w="2115" w:type="pct"/>
          </w:tcPr>
          <w:p w14:paraId="3623ED60" w14:textId="1EDDB412"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Unincorporated  Business</w:t>
            </w:r>
          </w:p>
        </w:tc>
        <w:tc>
          <w:tcPr>
            <w:tcW w:w="646" w:type="pct"/>
          </w:tcPr>
          <w:p w14:paraId="1B565737" w14:textId="77777777" w:rsidR="003558D0" w:rsidRPr="000C7CFC" w:rsidRDefault="003558D0" w:rsidP="000054D2">
            <w:pPr>
              <w:spacing w:before="100" w:beforeAutospacing="1" w:afterAutospacing="1"/>
              <w:jc w:val="right"/>
              <w:rPr>
                <w:sz w:val="20"/>
                <w:szCs w:val="20"/>
              </w:rPr>
            </w:pPr>
            <w:r w:rsidRPr="000C7CFC">
              <w:rPr>
                <w:sz w:val="20"/>
                <w:szCs w:val="20"/>
              </w:rPr>
              <w:t>2,122</w:t>
            </w:r>
          </w:p>
        </w:tc>
        <w:tc>
          <w:tcPr>
            <w:tcW w:w="577" w:type="pct"/>
          </w:tcPr>
          <w:p w14:paraId="5A5C9C91" w14:textId="77777777" w:rsidR="003558D0" w:rsidRPr="000C7CFC" w:rsidRDefault="003558D0" w:rsidP="000054D2">
            <w:pPr>
              <w:spacing w:before="100" w:beforeAutospacing="1" w:afterAutospacing="1"/>
              <w:jc w:val="right"/>
              <w:rPr>
                <w:sz w:val="20"/>
                <w:szCs w:val="20"/>
              </w:rPr>
            </w:pPr>
            <w:r w:rsidRPr="000C7CFC">
              <w:rPr>
                <w:sz w:val="20"/>
                <w:szCs w:val="20"/>
              </w:rPr>
              <w:t>2,265</w:t>
            </w:r>
          </w:p>
        </w:tc>
        <w:tc>
          <w:tcPr>
            <w:tcW w:w="577" w:type="pct"/>
          </w:tcPr>
          <w:p w14:paraId="2DEF3A5F" w14:textId="77777777" w:rsidR="003558D0" w:rsidRPr="000C7CFC" w:rsidRDefault="003558D0" w:rsidP="000054D2">
            <w:pPr>
              <w:spacing w:before="100" w:beforeAutospacing="1" w:afterAutospacing="1"/>
              <w:jc w:val="right"/>
              <w:rPr>
                <w:sz w:val="20"/>
                <w:szCs w:val="20"/>
              </w:rPr>
            </w:pPr>
            <w:r w:rsidRPr="000C7CFC">
              <w:rPr>
                <w:sz w:val="20"/>
                <w:szCs w:val="20"/>
              </w:rPr>
              <w:t>2,380</w:t>
            </w:r>
          </w:p>
        </w:tc>
        <w:tc>
          <w:tcPr>
            <w:tcW w:w="577" w:type="pct"/>
          </w:tcPr>
          <w:p w14:paraId="4D9F243B" w14:textId="77777777" w:rsidR="003558D0" w:rsidRPr="000C7CFC" w:rsidRDefault="003558D0" w:rsidP="000054D2">
            <w:pPr>
              <w:spacing w:before="100" w:beforeAutospacing="1" w:afterAutospacing="1"/>
              <w:jc w:val="right"/>
              <w:rPr>
                <w:sz w:val="20"/>
                <w:szCs w:val="20"/>
              </w:rPr>
            </w:pPr>
            <w:r w:rsidRPr="000C7CFC">
              <w:rPr>
                <w:sz w:val="20"/>
                <w:szCs w:val="20"/>
              </w:rPr>
              <w:t>2,490</w:t>
            </w:r>
          </w:p>
        </w:tc>
        <w:tc>
          <w:tcPr>
            <w:tcW w:w="508" w:type="pct"/>
          </w:tcPr>
          <w:p w14:paraId="6D3DBD7A" w14:textId="77777777" w:rsidR="003558D0" w:rsidRPr="000C7CFC" w:rsidRDefault="003558D0" w:rsidP="000054D2">
            <w:pPr>
              <w:spacing w:before="100" w:beforeAutospacing="1" w:afterAutospacing="1"/>
              <w:jc w:val="right"/>
              <w:rPr>
                <w:sz w:val="20"/>
                <w:szCs w:val="20"/>
              </w:rPr>
            </w:pPr>
            <w:r w:rsidRPr="000C7CFC">
              <w:rPr>
                <w:sz w:val="20"/>
                <w:szCs w:val="20"/>
              </w:rPr>
              <w:t>2,523</w:t>
            </w:r>
          </w:p>
        </w:tc>
      </w:tr>
      <w:tr w:rsidR="003558D0" w:rsidRPr="000C7CFC" w14:paraId="2F20250F" w14:textId="77777777" w:rsidTr="000054D2">
        <w:trPr>
          <w:trHeight w:val="20"/>
        </w:trPr>
        <w:tc>
          <w:tcPr>
            <w:tcW w:w="2115" w:type="pct"/>
          </w:tcPr>
          <w:p w14:paraId="76981A5A"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Utility</w:t>
            </w:r>
          </w:p>
        </w:tc>
        <w:tc>
          <w:tcPr>
            <w:tcW w:w="646" w:type="pct"/>
          </w:tcPr>
          <w:p w14:paraId="4437F0B2" w14:textId="77777777" w:rsidR="003558D0" w:rsidRPr="000C7CFC" w:rsidRDefault="003558D0" w:rsidP="000054D2">
            <w:pPr>
              <w:spacing w:before="100" w:beforeAutospacing="1" w:afterAutospacing="1"/>
              <w:jc w:val="right"/>
              <w:rPr>
                <w:sz w:val="20"/>
                <w:szCs w:val="20"/>
              </w:rPr>
            </w:pPr>
            <w:r w:rsidRPr="000C7CFC">
              <w:rPr>
                <w:sz w:val="20"/>
                <w:szCs w:val="20"/>
              </w:rPr>
              <w:t>381</w:t>
            </w:r>
          </w:p>
        </w:tc>
        <w:tc>
          <w:tcPr>
            <w:tcW w:w="577" w:type="pct"/>
          </w:tcPr>
          <w:p w14:paraId="3119BC33" w14:textId="77777777" w:rsidR="003558D0" w:rsidRPr="000C7CFC" w:rsidRDefault="003558D0" w:rsidP="000054D2">
            <w:pPr>
              <w:spacing w:before="100" w:beforeAutospacing="1" w:afterAutospacing="1"/>
              <w:jc w:val="right"/>
              <w:rPr>
                <w:sz w:val="20"/>
                <w:szCs w:val="20"/>
              </w:rPr>
            </w:pPr>
            <w:r w:rsidRPr="000C7CFC">
              <w:rPr>
                <w:sz w:val="20"/>
                <w:szCs w:val="20"/>
              </w:rPr>
              <w:t>390</w:t>
            </w:r>
          </w:p>
        </w:tc>
        <w:tc>
          <w:tcPr>
            <w:tcW w:w="577" w:type="pct"/>
          </w:tcPr>
          <w:p w14:paraId="4355BAB5" w14:textId="77777777" w:rsidR="003558D0" w:rsidRPr="000C7CFC" w:rsidRDefault="003558D0" w:rsidP="000054D2">
            <w:pPr>
              <w:spacing w:before="100" w:beforeAutospacing="1" w:afterAutospacing="1"/>
              <w:jc w:val="right"/>
              <w:rPr>
                <w:sz w:val="20"/>
                <w:szCs w:val="20"/>
              </w:rPr>
            </w:pPr>
            <w:r w:rsidRPr="000C7CFC">
              <w:rPr>
                <w:sz w:val="20"/>
                <w:szCs w:val="20"/>
              </w:rPr>
              <w:t>399</w:t>
            </w:r>
          </w:p>
        </w:tc>
        <w:tc>
          <w:tcPr>
            <w:tcW w:w="577" w:type="pct"/>
          </w:tcPr>
          <w:p w14:paraId="4AE884D9" w14:textId="77777777" w:rsidR="003558D0" w:rsidRPr="000C7CFC" w:rsidRDefault="003558D0" w:rsidP="000054D2">
            <w:pPr>
              <w:spacing w:before="100" w:beforeAutospacing="1" w:afterAutospacing="1"/>
              <w:jc w:val="right"/>
              <w:rPr>
                <w:sz w:val="20"/>
                <w:szCs w:val="20"/>
              </w:rPr>
            </w:pPr>
            <w:r w:rsidRPr="000C7CFC">
              <w:rPr>
                <w:sz w:val="20"/>
                <w:szCs w:val="20"/>
              </w:rPr>
              <w:t>412</w:t>
            </w:r>
          </w:p>
        </w:tc>
        <w:tc>
          <w:tcPr>
            <w:tcW w:w="508" w:type="pct"/>
          </w:tcPr>
          <w:p w14:paraId="553D6387" w14:textId="77777777" w:rsidR="003558D0" w:rsidRPr="000C7CFC" w:rsidRDefault="003558D0" w:rsidP="000054D2">
            <w:pPr>
              <w:spacing w:before="100" w:beforeAutospacing="1" w:afterAutospacing="1"/>
              <w:jc w:val="right"/>
              <w:rPr>
                <w:sz w:val="20"/>
                <w:szCs w:val="20"/>
              </w:rPr>
            </w:pPr>
            <w:r w:rsidRPr="000C7CFC">
              <w:rPr>
                <w:sz w:val="20"/>
                <w:szCs w:val="20"/>
              </w:rPr>
              <w:t>424</w:t>
            </w:r>
          </w:p>
        </w:tc>
      </w:tr>
      <w:tr w:rsidR="003558D0" w:rsidRPr="000C7CFC" w14:paraId="00FBBE65" w14:textId="77777777" w:rsidTr="000054D2">
        <w:trPr>
          <w:trHeight w:val="20"/>
        </w:trPr>
        <w:tc>
          <w:tcPr>
            <w:tcW w:w="2115" w:type="pct"/>
          </w:tcPr>
          <w:p w14:paraId="7F3A8351"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Hotel</w:t>
            </w:r>
          </w:p>
        </w:tc>
        <w:tc>
          <w:tcPr>
            <w:tcW w:w="646" w:type="pct"/>
          </w:tcPr>
          <w:p w14:paraId="02CCB696" w14:textId="77777777" w:rsidR="003558D0" w:rsidRPr="000C7CFC" w:rsidRDefault="003558D0" w:rsidP="000054D2">
            <w:pPr>
              <w:spacing w:before="100" w:beforeAutospacing="1" w:afterAutospacing="1"/>
              <w:jc w:val="right"/>
              <w:rPr>
                <w:sz w:val="20"/>
                <w:szCs w:val="20"/>
              </w:rPr>
            </w:pPr>
            <w:r w:rsidRPr="000C7CFC">
              <w:rPr>
                <w:sz w:val="20"/>
                <w:szCs w:val="20"/>
              </w:rPr>
              <w:t>589</w:t>
            </w:r>
          </w:p>
        </w:tc>
        <w:tc>
          <w:tcPr>
            <w:tcW w:w="577" w:type="pct"/>
          </w:tcPr>
          <w:p w14:paraId="02854B39" w14:textId="77777777" w:rsidR="003558D0" w:rsidRPr="000C7CFC" w:rsidRDefault="003558D0" w:rsidP="000054D2">
            <w:pPr>
              <w:spacing w:before="100" w:beforeAutospacing="1" w:afterAutospacing="1"/>
              <w:jc w:val="right"/>
              <w:rPr>
                <w:sz w:val="20"/>
                <w:szCs w:val="20"/>
              </w:rPr>
            </w:pPr>
            <w:r w:rsidRPr="000C7CFC">
              <w:rPr>
                <w:sz w:val="20"/>
                <w:szCs w:val="20"/>
              </w:rPr>
              <w:t>591</w:t>
            </w:r>
          </w:p>
        </w:tc>
        <w:tc>
          <w:tcPr>
            <w:tcW w:w="577" w:type="pct"/>
          </w:tcPr>
          <w:p w14:paraId="4EA37C10" w14:textId="77777777" w:rsidR="003558D0" w:rsidRPr="000C7CFC" w:rsidRDefault="003558D0" w:rsidP="000054D2">
            <w:pPr>
              <w:spacing w:before="100" w:beforeAutospacing="1" w:afterAutospacing="1"/>
              <w:jc w:val="right"/>
              <w:rPr>
                <w:sz w:val="20"/>
                <w:szCs w:val="20"/>
              </w:rPr>
            </w:pPr>
            <w:r w:rsidRPr="000C7CFC">
              <w:rPr>
                <w:sz w:val="20"/>
                <w:szCs w:val="20"/>
              </w:rPr>
              <w:t>595</w:t>
            </w:r>
          </w:p>
        </w:tc>
        <w:tc>
          <w:tcPr>
            <w:tcW w:w="577" w:type="pct"/>
          </w:tcPr>
          <w:p w14:paraId="70DB3EAE" w14:textId="77777777" w:rsidR="003558D0" w:rsidRPr="000C7CFC" w:rsidRDefault="003558D0" w:rsidP="000054D2">
            <w:pPr>
              <w:spacing w:before="100" w:beforeAutospacing="1" w:afterAutospacing="1"/>
              <w:jc w:val="right"/>
              <w:rPr>
                <w:sz w:val="20"/>
                <w:szCs w:val="20"/>
              </w:rPr>
            </w:pPr>
            <w:r w:rsidRPr="000C7CFC">
              <w:rPr>
                <w:sz w:val="20"/>
                <w:szCs w:val="20"/>
              </w:rPr>
              <w:t>605</w:t>
            </w:r>
          </w:p>
        </w:tc>
        <w:tc>
          <w:tcPr>
            <w:tcW w:w="508" w:type="pct"/>
          </w:tcPr>
          <w:p w14:paraId="26009FB6" w14:textId="77777777" w:rsidR="003558D0" w:rsidRPr="000C7CFC" w:rsidRDefault="003558D0" w:rsidP="000054D2">
            <w:pPr>
              <w:spacing w:before="100" w:beforeAutospacing="1" w:afterAutospacing="1"/>
              <w:jc w:val="right"/>
              <w:rPr>
                <w:sz w:val="20"/>
                <w:szCs w:val="20"/>
              </w:rPr>
            </w:pPr>
            <w:r w:rsidRPr="000C7CFC">
              <w:rPr>
                <w:sz w:val="20"/>
                <w:szCs w:val="20"/>
              </w:rPr>
              <w:t>620</w:t>
            </w:r>
          </w:p>
        </w:tc>
      </w:tr>
      <w:tr w:rsidR="003558D0" w:rsidRPr="000C7CFC" w14:paraId="44AECBB0" w14:textId="77777777" w:rsidTr="000054D2">
        <w:trPr>
          <w:trHeight w:val="20"/>
        </w:trPr>
        <w:tc>
          <w:tcPr>
            <w:tcW w:w="2115" w:type="pct"/>
          </w:tcPr>
          <w:p w14:paraId="54C3E1C9"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Commercial Rent</w:t>
            </w:r>
          </w:p>
        </w:tc>
        <w:tc>
          <w:tcPr>
            <w:tcW w:w="646" w:type="pct"/>
          </w:tcPr>
          <w:p w14:paraId="79B9C597" w14:textId="77777777" w:rsidR="003558D0" w:rsidRPr="000C7CFC" w:rsidRDefault="003558D0" w:rsidP="000054D2">
            <w:pPr>
              <w:spacing w:before="100" w:beforeAutospacing="1" w:afterAutospacing="1"/>
              <w:jc w:val="right"/>
              <w:rPr>
                <w:sz w:val="20"/>
                <w:szCs w:val="20"/>
              </w:rPr>
            </w:pPr>
            <w:r w:rsidRPr="000C7CFC">
              <w:rPr>
                <w:sz w:val="20"/>
                <w:szCs w:val="20"/>
              </w:rPr>
              <w:t>848</w:t>
            </w:r>
          </w:p>
        </w:tc>
        <w:tc>
          <w:tcPr>
            <w:tcW w:w="577" w:type="pct"/>
          </w:tcPr>
          <w:p w14:paraId="66DE3AE6" w14:textId="77777777" w:rsidR="003558D0" w:rsidRPr="000C7CFC" w:rsidRDefault="003558D0" w:rsidP="000054D2">
            <w:pPr>
              <w:spacing w:before="100" w:beforeAutospacing="1" w:afterAutospacing="1"/>
              <w:jc w:val="right"/>
              <w:rPr>
                <w:sz w:val="20"/>
                <w:szCs w:val="20"/>
              </w:rPr>
            </w:pPr>
            <w:r w:rsidRPr="000C7CFC">
              <w:rPr>
                <w:sz w:val="20"/>
                <w:szCs w:val="20"/>
              </w:rPr>
              <w:t>852</w:t>
            </w:r>
          </w:p>
        </w:tc>
        <w:tc>
          <w:tcPr>
            <w:tcW w:w="577" w:type="pct"/>
          </w:tcPr>
          <w:p w14:paraId="76866BEF" w14:textId="77777777" w:rsidR="003558D0" w:rsidRPr="000C7CFC" w:rsidRDefault="003558D0" w:rsidP="000054D2">
            <w:pPr>
              <w:spacing w:before="100" w:beforeAutospacing="1" w:afterAutospacing="1"/>
              <w:jc w:val="right"/>
              <w:rPr>
                <w:sz w:val="20"/>
                <w:szCs w:val="20"/>
              </w:rPr>
            </w:pPr>
            <w:r w:rsidRPr="000C7CFC">
              <w:rPr>
                <w:sz w:val="20"/>
                <w:szCs w:val="20"/>
              </w:rPr>
              <w:t>875</w:t>
            </w:r>
          </w:p>
        </w:tc>
        <w:tc>
          <w:tcPr>
            <w:tcW w:w="577" w:type="pct"/>
          </w:tcPr>
          <w:p w14:paraId="1DE79C9F" w14:textId="77777777" w:rsidR="003558D0" w:rsidRPr="000C7CFC" w:rsidRDefault="003558D0" w:rsidP="000054D2">
            <w:pPr>
              <w:spacing w:before="100" w:beforeAutospacing="1" w:afterAutospacing="1"/>
              <w:jc w:val="right"/>
              <w:rPr>
                <w:sz w:val="20"/>
                <w:szCs w:val="20"/>
              </w:rPr>
            </w:pPr>
            <w:r w:rsidRPr="000C7CFC">
              <w:rPr>
                <w:sz w:val="20"/>
                <w:szCs w:val="20"/>
              </w:rPr>
              <w:t>905</w:t>
            </w:r>
          </w:p>
        </w:tc>
        <w:tc>
          <w:tcPr>
            <w:tcW w:w="508" w:type="pct"/>
          </w:tcPr>
          <w:p w14:paraId="59704FB5" w14:textId="77777777" w:rsidR="003558D0" w:rsidRPr="000C7CFC" w:rsidRDefault="003558D0" w:rsidP="000054D2">
            <w:pPr>
              <w:spacing w:before="100" w:beforeAutospacing="1" w:afterAutospacing="1"/>
              <w:jc w:val="right"/>
              <w:rPr>
                <w:sz w:val="20"/>
                <w:szCs w:val="20"/>
              </w:rPr>
            </w:pPr>
            <w:r w:rsidRPr="000C7CFC">
              <w:rPr>
                <w:sz w:val="20"/>
                <w:szCs w:val="20"/>
              </w:rPr>
              <w:t>942</w:t>
            </w:r>
          </w:p>
        </w:tc>
      </w:tr>
      <w:tr w:rsidR="003558D0" w:rsidRPr="000C7CFC" w14:paraId="2E8C7FFD" w14:textId="77777777" w:rsidTr="000054D2">
        <w:trPr>
          <w:trHeight w:val="20"/>
        </w:trPr>
        <w:tc>
          <w:tcPr>
            <w:tcW w:w="2115" w:type="pct"/>
          </w:tcPr>
          <w:p w14:paraId="00C8FF39" w14:textId="580EFDD1"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Real Property Transfer</w:t>
            </w:r>
          </w:p>
        </w:tc>
        <w:tc>
          <w:tcPr>
            <w:tcW w:w="646" w:type="pct"/>
          </w:tcPr>
          <w:p w14:paraId="39F3F0D8" w14:textId="77777777" w:rsidR="003558D0" w:rsidRPr="000C7CFC" w:rsidRDefault="003558D0" w:rsidP="000054D2">
            <w:pPr>
              <w:spacing w:before="100" w:beforeAutospacing="1" w:afterAutospacing="1"/>
              <w:jc w:val="right"/>
              <w:rPr>
                <w:sz w:val="20"/>
                <w:szCs w:val="20"/>
              </w:rPr>
            </w:pPr>
            <w:r w:rsidRPr="000C7CFC">
              <w:rPr>
                <w:sz w:val="20"/>
                <w:szCs w:val="20"/>
              </w:rPr>
              <w:t>1,398</w:t>
            </w:r>
          </w:p>
        </w:tc>
        <w:tc>
          <w:tcPr>
            <w:tcW w:w="577" w:type="pct"/>
          </w:tcPr>
          <w:p w14:paraId="5E6B5EB7" w14:textId="77777777" w:rsidR="003558D0" w:rsidRPr="000C7CFC" w:rsidRDefault="003558D0" w:rsidP="000054D2">
            <w:pPr>
              <w:spacing w:before="100" w:beforeAutospacing="1" w:afterAutospacing="1"/>
              <w:jc w:val="right"/>
              <w:rPr>
                <w:sz w:val="20"/>
                <w:szCs w:val="20"/>
              </w:rPr>
            </w:pPr>
            <w:r w:rsidRPr="000C7CFC">
              <w:rPr>
                <w:sz w:val="20"/>
                <w:szCs w:val="20"/>
              </w:rPr>
              <w:t>1,469</w:t>
            </w:r>
          </w:p>
        </w:tc>
        <w:tc>
          <w:tcPr>
            <w:tcW w:w="577" w:type="pct"/>
          </w:tcPr>
          <w:p w14:paraId="581D8C63" w14:textId="77777777" w:rsidR="003558D0" w:rsidRPr="000C7CFC" w:rsidRDefault="003558D0" w:rsidP="000054D2">
            <w:pPr>
              <w:spacing w:before="100" w:beforeAutospacing="1" w:afterAutospacing="1"/>
              <w:jc w:val="right"/>
              <w:rPr>
                <w:sz w:val="20"/>
                <w:szCs w:val="20"/>
              </w:rPr>
            </w:pPr>
            <w:r w:rsidRPr="000C7CFC">
              <w:rPr>
                <w:sz w:val="20"/>
                <w:szCs w:val="20"/>
              </w:rPr>
              <w:t>1,488</w:t>
            </w:r>
          </w:p>
        </w:tc>
        <w:tc>
          <w:tcPr>
            <w:tcW w:w="577" w:type="pct"/>
          </w:tcPr>
          <w:p w14:paraId="009FA01D" w14:textId="77777777" w:rsidR="003558D0" w:rsidRPr="000C7CFC" w:rsidRDefault="003558D0" w:rsidP="000054D2">
            <w:pPr>
              <w:spacing w:before="100" w:beforeAutospacing="1" w:afterAutospacing="1"/>
              <w:jc w:val="right"/>
              <w:rPr>
                <w:sz w:val="20"/>
                <w:szCs w:val="20"/>
              </w:rPr>
            </w:pPr>
            <w:r w:rsidRPr="000C7CFC">
              <w:rPr>
                <w:sz w:val="20"/>
                <w:szCs w:val="20"/>
              </w:rPr>
              <w:t>1,511</w:t>
            </w:r>
          </w:p>
        </w:tc>
        <w:tc>
          <w:tcPr>
            <w:tcW w:w="508" w:type="pct"/>
          </w:tcPr>
          <w:p w14:paraId="06CE2C77" w14:textId="77777777" w:rsidR="003558D0" w:rsidRPr="000C7CFC" w:rsidRDefault="003558D0" w:rsidP="000054D2">
            <w:pPr>
              <w:spacing w:before="100" w:beforeAutospacing="1" w:afterAutospacing="1"/>
              <w:jc w:val="right"/>
              <w:rPr>
                <w:sz w:val="20"/>
                <w:szCs w:val="20"/>
              </w:rPr>
            </w:pPr>
            <w:r w:rsidRPr="000C7CFC">
              <w:rPr>
                <w:sz w:val="20"/>
                <w:szCs w:val="20"/>
              </w:rPr>
              <w:t>1,547</w:t>
            </w:r>
          </w:p>
        </w:tc>
      </w:tr>
      <w:tr w:rsidR="003558D0" w:rsidRPr="000C7CFC" w14:paraId="30B02920" w14:textId="77777777" w:rsidTr="000054D2">
        <w:trPr>
          <w:trHeight w:val="20"/>
        </w:trPr>
        <w:tc>
          <w:tcPr>
            <w:tcW w:w="2115" w:type="pct"/>
          </w:tcPr>
          <w:p w14:paraId="5F16D913"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Cigarette</w:t>
            </w:r>
          </w:p>
        </w:tc>
        <w:tc>
          <w:tcPr>
            <w:tcW w:w="646" w:type="pct"/>
          </w:tcPr>
          <w:p w14:paraId="0A928D07" w14:textId="77777777" w:rsidR="003558D0" w:rsidRPr="000C7CFC" w:rsidRDefault="003558D0" w:rsidP="000054D2">
            <w:pPr>
              <w:spacing w:before="100" w:beforeAutospacing="1" w:afterAutospacing="1"/>
              <w:jc w:val="right"/>
              <w:rPr>
                <w:sz w:val="20"/>
                <w:szCs w:val="20"/>
              </w:rPr>
            </w:pPr>
            <w:r w:rsidRPr="000C7CFC">
              <w:rPr>
                <w:sz w:val="20"/>
                <w:szCs w:val="20"/>
              </w:rPr>
              <w:t>36</w:t>
            </w:r>
          </w:p>
        </w:tc>
        <w:tc>
          <w:tcPr>
            <w:tcW w:w="577" w:type="pct"/>
          </w:tcPr>
          <w:p w14:paraId="3338FC8B" w14:textId="77777777" w:rsidR="003558D0" w:rsidRPr="000C7CFC" w:rsidRDefault="003558D0" w:rsidP="000054D2">
            <w:pPr>
              <w:spacing w:before="100" w:beforeAutospacing="1" w:afterAutospacing="1"/>
              <w:jc w:val="right"/>
              <w:rPr>
                <w:sz w:val="20"/>
                <w:szCs w:val="20"/>
              </w:rPr>
            </w:pPr>
            <w:r w:rsidRPr="000C7CFC">
              <w:rPr>
                <w:sz w:val="20"/>
                <w:szCs w:val="20"/>
              </w:rPr>
              <w:t>35</w:t>
            </w:r>
          </w:p>
        </w:tc>
        <w:tc>
          <w:tcPr>
            <w:tcW w:w="577" w:type="pct"/>
          </w:tcPr>
          <w:p w14:paraId="2C3D2069" w14:textId="77777777" w:rsidR="003558D0" w:rsidRPr="000C7CFC" w:rsidRDefault="003558D0" w:rsidP="000054D2">
            <w:pPr>
              <w:spacing w:before="100" w:beforeAutospacing="1" w:afterAutospacing="1"/>
              <w:jc w:val="right"/>
              <w:rPr>
                <w:sz w:val="20"/>
                <w:szCs w:val="20"/>
              </w:rPr>
            </w:pPr>
            <w:r w:rsidRPr="000C7CFC">
              <w:rPr>
                <w:sz w:val="20"/>
                <w:szCs w:val="20"/>
              </w:rPr>
              <w:t>34</w:t>
            </w:r>
          </w:p>
        </w:tc>
        <w:tc>
          <w:tcPr>
            <w:tcW w:w="577" w:type="pct"/>
          </w:tcPr>
          <w:p w14:paraId="401133A9" w14:textId="77777777" w:rsidR="003558D0" w:rsidRPr="000C7CFC" w:rsidRDefault="003558D0" w:rsidP="000054D2">
            <w:pPr>
              <w:spacing w:before="100" w:beforeAutospacing="1" w:afterAutospacing="1"/>
              <w:jc w:val="right"/>
              <w:rPr>
                <w:sz w:val="20"/>
                <w:szCs w:val="20"/>
              </w:rPr>
            </w:pPr>
            <w:r w:rsidRPr="000C7CFC">
              <w:rPr>
                <w:sz w:val="20"/>
                <w:szCs w:val="20"/>
              </w:rPr>
              <w:t>33</w:t>
            </w:r>
          </w:p>
        </w:tc>
        <w:tc>
          <w:tcPr>
            <w:tcW w:w="508" w:type="pct"/>
          </w:tcPr>
          <w:p w14:paraId="6EF7BA3A" w14:textId="77777777" w:rsidR="003558D0" w:rsidRPr="000C7CFC" w:rsidRDefault="003558D0" w:rsidP="000054D2">
            <w:pPr>
              <w:spacing w:before="100" w:beforeAutospacing="1" w:afterAutospacing="1"/>
              <w:jc w:val="right"/>
              <w:rPr>
                <w:sz w:val="20"/>
                <w:szCs w:val="20"/>
              </w:rPr>
            </w:pPr>
            <w:r w:rsidRPr="000C7CFC">
              <w:rPr>
                <w:sz w:val="20"/>
                <w:szCs w:val="20"/>
              </w:rPr>
              <w:t>32</w:t>
            </w:r>
          </w:p>
        </w:tc>
      </w:tr>
      <w:tr w:rsidR="003558D0" w:rsidRPr="000C7CFC" w14:paraId="48810D3C" w14:textId="77777777" w:rsidTr="000054D2">
        <w:trPr>
          <w:trHeight w:val="20"/>
        </w:trPr>
        <w:tc>
          <w:tcPr>
            <w:tcW w:w="2115" w:type="pct"/>
          </w:tcPr>
          <w:p w14:paraId="71267362"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All Other</w:t>
            </w:r>
          </w:p>
        </w:tc>
        <w:tc>
          <w:tcPr>
            <w:tcW w:w="646" w:type="pct"/>
          </w:tcPr>
          <w:p w14:paraId="6B2570BB" w14:textId="77777777" w:rsidR="003558D0" w:rsidRPr="000C7CFC" w:rsidRDefault="003558D0" w:rsidP="000054D2">
            <w:pPr>
              <w:spacing w:before="100" w:beforeAutospacing="1" w:afterAutospacing="1"/>
              <w:jc w:val="right"/>
              <w:rPr>
                <w:sz w:val="20"/>
                <w:szCs w:val="20"/>
              </w:rPr>
            </w:pPr>
            <w:r w:rsidRPr="000C7CFC">
              <w:rPr>
                <w:sz w:val="20"/>
                <w:szCs w:val="20"/>
              </w:rPr>
              <w:t>779</w:t>
            </w:r>
          </w:p>
        </w:tc>
        <w:tc>
          <w:tcPr>
            <w:tcW w:w="577" w:type="pct"/>
          </w:tcPr>
          <w:p w14:paraId="1662B923" w14:textId="77777777" w:rsidR="003558D0" w:rsidRPr="000C7CFC" w:rsidRDefault="003558D0" w:rsidP="000054D2">
            <w:pPr>
              <w:spacing w:before="100" w:beforeAutospacing="1" w:afterAutospacing="1"/>
              <w:jc w:val="right"/>
              <w:rPr>
                <w:sz w:val="20"/>
                <w:szCs w:val="20"/>
              </w:rPr>
            </w:pPr>
            <w:r w:rsidRPr="000C7CFC">
              <w:rPr>
                <w:sz w:val="20"/>
                <w:szCs w:val="20"/>
              </w:rPr>
              <w:t>750</w:t>
            </w:r>
          </w:p>
        </w:tc>
        <w:tc>
          <w:tcPr>
            <w:tcW w:w="577" w:type="pct"/>
          </w:tcPr>
          <w:p w14:paraId="64652949" w14:textId="77777777" w:rsidR="003558D0" w:rsidRPr="000C7CFC" w:rsidRDefault="003558D0" w:rsidP="000054D2">
            <w:pPr>
              <w:spacing w:before="100" w:beforeAutospacing="1" w:afterAutospacing="1"/>
              <w:jc w:val="right"/>
              <w:rPr>
                <w:sz w:val="20"/>
                <w:szCs w:val="20"/>
              </w:rPr>
            </w:pPr>
            <w:r w:rsidRPr="000C7CFC">
              <w:rPr>
                <w:sz w:val="20"/>
                <w:szCs w:val="20"/>
              </w:rPr>
              <w:t>750</w:t>
            </w:r>
          </w:p>
        </w:tc>
        <w:tc>
          <w:tcPr>
            <w:tcW w:w="577" w:type="pct"/>
          </w:tcPr>
          <w:p w14:paraId="17EDD0DB" w14:textId="77777777" w:rsidR="003558D0" w:rsidRPr="000C7CFC" w:rsidRDefault="003558D0" w:rsidP="000054D2">
            <w:pPr>
              <w:spacing w:before="100" w:beforeAutospacing="1" w:afterAutospacing="1"/>
              <w:jc w:val="right"/>
              <w:rPr>
                <w:sz w:val="20"/>
                <w:szCs w:val="20"/>
              </w:rPr>
            </w:pPr>
            <w:r w:rsidRPr="000C7CFC">
              <w:rPr>
                <w:sz w:val="20"/>
                <w:szCs w:val="20"/>
              </w:rPr>
              <w:t>750</w:t>
            </w:r>
          </w:p>
        </w:tc>
        <w:tc>
          <w:tcPr>
            <w:tcW w:w="508" w:type="pct"/>
          </w:tcPr>
          <w:p w14:paraId="1972144A" w14:textId="77777777" w:rsidR="003558D0" w:rsidRPr="000C7CFC" w:rsidRDefault="003558D0" w:rsidP="000054D2">
            <w:pPr>
              <w:spacing w:before="100" w:beforeAutospacing="1" w:afterAutospacing="1"/>
              <w:jc w:val="right"/>
              <w:rPr>
                <w:sz w:val="20"/>
                <w:szCs w:val="20"/>
              </w:rPr>
            </w:pPr>
            <w:r w:rsidRPr="000C7CFC">
              <w:rPr>
                <w:sz w:val="20"/>
                <w:szCs w:val="20"/>
              </w:rPr>
              <w:t>756</w:t>
            </w:r>
          </w:p>
        </w:tc>
      </w:tr>
      <w:tr w:rsidR="003558D0" w:rsidRPr="000C7CFC" w14:paraId="240C7CFB" w14:textId="77777777" w:rsidTr="000054D2">
        <w:trPr>
          <w:trHeight w:val="20"/>
        </w:trPr>
        <w:tc>
          <w:tcPr>
            <w:tcW w:w="2115" w:type="pct"/>
          </w:tcPr>
          <w:p w14:paraId="19E59309"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Audit</w:t>
            </w:r>
          </w:p>
        </w:tc>
        <w:tc>
          <w:tcPr>
            <w:tcW w:w="646" w:type="pct"/>
          </w:tcPr>
          <w:p w14:paraId="17468AC0" w14:textId="77777777" w:rsidR="003558D0" w:rsidRPr="000C7CFC" w:rsidRDefault="003558D0" w:rsidP="000054D2">
            <w:pPr>
              <w:spacing w:before="100" w:beforeAutospacing="1" w:afterAutospacing="1"/>
              <w:jc w:val="right"/>
              <w:rPr>
                <w:sz w:val="20"/>
                <w:szCs w:val="20"/>
              </w:rPr>
            </w:pPr>
            <w:r w:rsidRPr="000C7CFC">
              <w:rPr>
                <w:sz w:val="20"/>
                <w:szCs w:val="20"/>
              </w:rPr>
              <w:t>1,299</w:t>
            </w:r>
          </w:p>
        </w:tc>
        <w:tc>
          <w:tcPr>
            <w:tcW w:w="577" w:type="pct"/>
          </w:tcPr>
          <w:p w14:paraId="0845B05C" w14:textId="77777777" w:rsidR="003558D0" w:rsidRPr="000C7CFC" w:rsidRDefault="003558D0" w:rsidP="000054D2">
            <w:pPr>
              <w:spacing w:before="100" w:beforeAutospacing="1" w:afterAutospacing="1"/>
              <w:jc w:val="right"/>
              <w:rPr>
                <w:sz w:val="20"/>
                <w:szCs w:val="20"/>
              </w:rPr>
            </w:pPr>
            <w:r w:rsidRPr="000C7CFC">
              <w:rPr>
                <w:sz w:val="20"/>
                <w:szCs w:val="20"/>
              </w:rPr>
              <w:t>1,056</w:t>
            </w:r>
          </w:p>
        </w:tc>
        <w:tc>
          <w:tcPr>
            <w:tcW w:w="577" w:type="pct"/>
          </w:tcPr>
          <w:p w14:paraId="748B6D45" w14:textId="77777777" w:rsidR="003558D0" w:rsidRPr="000C7CFC" w:rsidRDefault="003558D0" w:rsidP="000054D2">
            <w:pPr>
              <w:spacing w:before="100" w:beforeAutospacing="1" w:afterAutospacing="1"/>
              <w:jc w:val="right"/>
              <w:rPr>
                <w:sz w:val="20"/>
                <w:szCs w:val="20"/>
              </w:rPr>
            </w:pPr>
            <w:r w:rsidRPr="000C7CFC">
              <w:rPr>
                <w:sz w:val="20"/>
                <w:szCs w:val="20"/>
              </w:rPr>
              <w:t>721</w:t>
            </w:r>
          </w:p>
        </w:tc>
        <w:tc>
          <w:tcPr>
            <w:tcW w:w="577" w:type="pct"/>
          </w:tcPr>
          <w:p w14:paraId="23EBE495" w14:textId="77777777" w:rsidR="003558D0" w:rsidRPr="000C7CFC" w:rsidRDefault="003558D0" w:rsidP="000054D2">
            <w:pPr>
              <w:spacing w:before="100" w:beforeAutospacing="1" w:afterAutospacing="1"/>
              <w:jc w:val="right"/>
              <w:rPr>
                <w:sz w:val="20"/>
                <w:szCs w:val="20"/>
              </w:rPr>
            </w:pPr>
            <w:r w:rsidRPr="000C7CFC">
              <w:rPr>
                <w:sz w:val="20"/>
                <w:szCs w:val="20"/>
              </w:rPr>
              <w:t>721</w:t>
            </w:r>
          </w:p>
        </w:tc>
        <w:tc>
          <w:tcPr>
            <w:tcW w:w="508" w:type="pct"/>
          </w:tcPr>
          <w:p w14:paraId="2BACECFD" w14:textId="77777777" w:rsidR="003558D0" w:rsidRPr="000C7CFC" w:rsidRDefault="003558D0" w:rsidP="000054D2">
            <w:pPr>
              <w:spacing w:before="100" w:beforeAutospacing="1" w:afterAutospacing="1"/>
              <w:jc w:val="right"/>
              <w:rPr>
                <w:sz w:val="20"/>
                <w:szCs w:val="20"/>
              </w:rPr>
            </w:pPr>
            <w:r w:rsidRPr="000C7CFC">
              <w:rPr>
                <w:sz w:val="20"/>
                <w:szCs w:val="20"/>
              </w:rPr>
              <w:t>721</w:t>
            </w:r>
          </w:p>
        </w:tc>
      </w:tr>
      <w:tr w:rsidR="003558D0" w:rsidRPr="000C7CFC" w14:paraId="1DBD55E0" w14:textId="77777777" w:rsidTr="000054D2">
        <w:trPr>
          <w:trHeight w:val="20"/>
        </w:trPr>
        <w:tc>
          <w:tcPr>
            <w:tcW w:w="2115" w:type="pct"/>
          </w:tcPr>
          <w:p w14:paraId="2D3190CE" w14:textId="77777777" w:rsidR="003558D0" w:rsidRPr="000C7CFC" w:rsidRDefault="003558D0" w:rsidP="000054D2">
            <w:pPr>
              <w:pStyle w:val="TableParagraph"/>
              <w:spacing w:before="100" w:beforeAutospacing="1" w:after="100" w:afterAutospacing="1"/>
              <w:ind w:left="329"/>
              <w:jc w:val="left"/>
              <w:rPr>
                <w:b/>
                <w:sz w:val="20"/>
                <w:szCs w:val="20"/>
              </w:rPr>
            </w:pPr>
            <w:r w:rsidRPr="000C7CFC">
              <w:rPr>
                <w:b/>
                <w:sz w:val="20"/>
                <w:szCs w:val="20"/>
              </w:rPr>
              <w:t>STAR</w:t>
            </w:r>
          </w:p>
        </w:tc>
        <w:tc>
          <w:tcPr>
            <w:tcW w:w="646" w:type="pct"/>
            <w:tcBorders>
              <w:bottom w:val="single" w:sz="6" w:space="0" w:color="000000"/>
            </w:tcBorders>
          </w:tcPr>
          <w:p w14:paraId="618D0B39" w14:textId="77777777" w:rsidR="003558D0" w:rsidRPr="000C7CFC" w:rsidRDefault="003558D0" w:rsidP="000054D2">
            <w:pPr>
              <w:spacing w:before="100" w:beforeAutospacing="1" w:afterAutospacing="1"/>
              <w:jc w:val="right"/>
              <w:rPr>
                <w:sz w:val="20"/>
                <w:szCs w:val="20"/>
              </w:rPr>
            </w:pPr>
            <w:r w:rsidRPr="000C7CFC">
              <w:rPr>
                <w:sz w:val="20"/>
                <w:szCs w:val="20"/>
              </w:rPr>
              <w:t>189</w:t>
            </w:r>
          </w:p>
        </w:tc>
        <w:tc>
          <w:tcPr>
            <w:tcW w:w="577" w:type="pct"/>
            <w:tcBorders>
              <w:bottom w:val="single" w:sz="6" w:space="0" w:color="000000"/>
            </w:tcBorders>
          </w:tcPr>
          <w:p w14:paraId="7AF4621F" w14:textId="77777777" w:rsidR="003558D0" w:rsidRPr="000C7CFC" w:rsidRDefault="003558D0" w:rsidP="000054D2">
            <w:pPr>
              <w:spacing w:before="100" w:beforeAutospacing="1" w:afterAutospacing="1"/>
              <w:jc w:val="right"/>
              <w:rPr>
                <w:sz w:val="20"/>
                <w:szCs w:val="20"/>
              </w:rPr>
            </w:pPr>
            <w:r w:rsidRPr="000C7CFC">
              <w:rPr>
                <w:sz w:val="20"/>
                <w:szCs w:val="20"/>
              </w:rPr>
              <w:t>185</w:t>
            </w:r>
          </w:p>
        </w:tc>
        <w:tc>
          <w:tcPr>
            <w:tcW w:w="577" w:type="pct"/>
            <w:tcBorders>
              <w:bottom w:val="single" w:sz="6" w:space="0" w:color="000000"/>
            </w:tcBorders>
          </w:tcPr>
          <w:p w14:paraId="0C6525FE" w14:textId="77777777" w:rsidR="003558D0" w:rsidRPr="000C7CFC" w:rsidRDefault="003558D0" w:rsidP="000054D2">
            <w:pPr>
              <w:spacing w:before="100" w:beforeAutospacing="1" w:afterAutospacing="1"/>
              <w:jc w:val="right"/>
              <w:rPr>
                <w:sz w:val="20"/>
                <w:szCs w:val="20"/>
              </w:rPr>
            </w:pPr>
            <w:r w:rsidRPr="000C7CFC">
              <w:rPr>
                <w:sz w:val="20"/>
                <w:szCs w:val="20"/>
              </w:rPr>
              <w:t>182</w:t>
            </w:r>
          </w:p>
        </w:tc>
        <w:tc>
          <w:tcPr>
            <w:tcW w:w="577" w:type="pct"/>
            <w:tcBorders>
              <w:bottom w:val="single" w:sz="6" w:space="0" w:color="000000"/>
            </w:tcBorders>
          </w:tcPr>
          <w:p w14:paraId="1F6F35F3" w14:textId="77777777" w:rsidR="003558D0" w:rsidRPr="000C7CFC" w:rsidRDefault="003558D0" w:rsidP="000054D2">
            <w:pPr>
              <w:spacing w:before="100" w:beforeAutospacing="1" w:afterAutospacing="1"/>
              <w:jc w:val="right"/>
              <w:rPr>
                <w:sz w:val="20"/>
                <w:szCs w:val="20"/>
              </w:rPr>
            </w:pPr>
            <w:r w:rsidRPr="000C7CFC">
              <w:rPr>
                <w:sz w:val="20"/>
                <w:szCs w:val="20"/>
              </w:rPr>
              <w:t>180</w:t>
            </w:r>
          </w:p>
        </w:tc>
        <w:tc>
          <w:tcPr>
            <w:tcW w:w="508" w:type="pct"/>
            <w:tcBorders>
              <w:bottom w:val="single" w:sz="6" w:space="0" w:color="000000"/>
            </w:tcBorders>
          </w:tcPr>
          <w:p w14:paraId="0875795B" w14:textId="77777777" w:rsidR="003558D0" w:rsidRPr="000C7CFC" w:rsidRDefault="003558D0" w:rsidP="000054D2">
            <w:pPr>
              <w:spacing w:before="100" w:beforeAutospacing="1" w:afterAutospacing="1"/>
              <w:jc w:val="right"/>
              <w:rPr>
                <w:sz w:val="20"/>
                <w:szCs w:val="20"/>
              </w:rPr>
            </w:pPr>
            <w:r w:rsidRPr="000C7CFC">
              <w:rPr>
                <w:sz w:val="20"/>
                <w:szCs w:val="20"/>
              </w:rPr>
              <w:t>178</w:t>
            </w:r>
          </w:p>
        </w:tc>
      </w:tr>
      <w:tr w:rsidR="003558D0" w:rsidRPr="002A3160" w14:paraId="60B9DE08" w14:textId="77777777" w:rsidTr="000054D2">
        <w:trPr>
          <w:trHeight w:val="20"/>
        </w:trPr>
        <w:tc>
          <w:tcPr>
            <w:tcW w:w="2115" w:type="pct"/>
          </w:tcPr>
          <w:p w14:paraId="03944699" w14:textId="77777777" w:rsidR="003558D0" w:rsidRPr="000C7CFC" w:rsidRDefault="003558D0" w:rsidP="000054D2">
            <w:pPr>
              <w:pStyle w:val="TableParagraph"/>
              <w:spacing w:before="100" w:beforeAutospacing="1" w:after="100" w:afterAutospacing="1"/>
              <w:ind w:left="44"/>
              <w:jc w:val="left"/>
              <w:rPr>
                <w:b/>
                <w:sz w:val="20"/>
                <w:szCs w:val="20"/>
              </w:rPr>
            </w:pPr>
            <w:r w:rsidRPr="000C7CFC">
              <w:rPr>
                <w:b/>
                <w:sz w:val="20"/>
                <w:szCs w:val="20"/>
              </w:rPr>
              <w:t>Total Taxes</w:t>
            </w:r>
          </w:p>
        </w:tc>
        <w:tc>
          <w:tcPr>
            <w:tcW w:w="646" w:type="pct"/>
            <w:tcBorders>
              <w:top w:val="single" w:sz="6" w:space="0" w:color="000000"/>
            </w:tcBorders>
          </w:tcPr>
          <w:p w14:paraId="6A651559" w14:textId="77777777" w:rsidR="003558D0" w:rsidRPr="002A3160" w:rsidRDefault="003558D0" w:rsidP="000054D2">
            <w:pPr>
              <w:spacing w:before="100" w:beforeAutospacing="1" w:afterAutospacing="1"/>
              <w:jc w:val="right"/>
              <w:rPr>
                <w:b/>
                <w:sz w:val="20"/>
                <w:szCs w:val="20"/>
              </w:rPr>
            </w:pPr>
            <w:r w:rsidRPr="002A3160">
              <w:rPr>
                <w:b/>
                <w:sz w:val="20"/>
                <w:szCs w:val="20"/>
              </w:rPr>
              <w:t>$57,294</w:t>
            </w:r>
          </w:p>
        </w:tc>
        <w:tc>
          <w:tcPr>
            <w:tcW w:w="577" w:type="pct"/>
            <w:tcBorders>
              <w:top w:val="single" w:sz="6" w:space="0" w:color="000000"/>
            </w:tcBorders>
          </w:tcPr>
          <w:p w14:paraId="42F0F942" w14:textId="77777777" w:rsidR="003558D0" w:rsidRPr="002A3160" w:rsidRDefault="003558D0" w:rsidP="000054D2">
            <w:pPr>
              <w:spacing w:before="100" w:beforeAutospacing="1" w:afterAutospacing="1"/>
              <w:jc w:val="right"/>
              <w:rPr>
                <w:b/>
                <w:sz w:val="20"/>
                <w:szCs w:val="20"/>
              </w:rPr>
            </w:pPr>
            <w:r w:rsidRPr="002A3160">
              <w:rPr>
                <w:b/>
                <w:sz w:val="20"/>
                <w:szCs w:val="20"/>
              </w:rPr>
              <w:t>$59,999</w:t>
            </w:r>
          </w:p>
        </w:tc>
        <w:tc>
          <w:tcPr>
            <w:tcW w:w="577" w:type="pct"/>
            <w:tcBorders>
              <w:top w:val="single" w:sz="6" w:space="0" w:color="000000"/>
            </w:tcBorders>
          </w:tcPr>
          <w:p w14:paraId="31973178" w14:textId="77777777" w:rsidR="003558D0" w:rsidRPr="002A3160" w:rsidRDefault="003558D0" w:rsidP="000054D2">
            <w:pPr>
              <w:spacing w:before="100" w:beforeAutospacing="1" w:afterAutospacing="1"/>
              <w:jc w:val="right"/>
              <w:rPr>
                <w:b/>
                <w:sz w:val="20"/>
                <w:szCs w:val="20"/>
              </w:rPr>
            </w:pPr>
            <w:r w:rsidRPr="002A3160">
              <w:rPr>
                <w:b/>
                <w:sz w:val="20"/>
                <w:szCs w:val="20"/>
              </w:rPr>
              <w:t>$62,223</w:t>
            </w:r>
          </w:p>
        </w:tc>
        <w:tc>
          <w:tcPr>
            <w:tcW w:w="577" w:type="pct"/>
            <w:tcBorders>
              <w:top w:val="single" w:sz="6" w:space="0" w:color="000000"/>
            </w:tcBorders>
          </w:tcPr>
          <w:p w14:paraId="10518FEE" w14:textId="77777777" w:rsidR="003558D0" w:rsidRPr="002A3160" w:rsidRDefault="003558D0" w:rsidP="000054D2">
            <w:pPr>
              <w:spacing w:before="100" w:beforeAutospacing="1" w:afterAutospacing="1"/>
              <w:jc w:val="right"/>
              <w:rPr>
                <w:b/>
                <w:sz w:val="20"/>
                <w:szCs w:val="20"/>
              </w:rPr>
            </w:pPr>
            <w:r w:rsidRPr="002A3160">
              <w:rPr>
                <w:b/>
                <w:sz w:val="20"/>
                <w:szCs w:val="20"/>
              </w:rPr>
              <w:t>$64,582</w:t>
            </w:r>
          </w:p>
        </w:tc>
        <w:tc>
          <w:tcPr>
            <w:tcW w:w="508" w:type="pct"/>
            <w:tcBorders>
              <w:top w:val="single" w:sz="6" w:space="0" w:color="000000"/>
            </w:tcBorders>
          </w:tcPr>
          <w:p w14:paraId="240B4DF1" w14:textId="77777777" w:rsidR="003558D0" w:rsidRPr="002A3160" w:rsidRDefault="003558D0" w:rsidP="000054D2">
            <w:pPr>
              <w:spacing w:before="100" w:beforeAutospacing="1" w:afterAutospacing="1"/>
              <w:jc w:val="right"/>
              <w:rPr>
                <w:b/>
                <w:sz w:val="20"/>
                <w:szCs w:val="20"/>
              </w:rPr>
            </w:pPr>
            <w:r w:rsidRPr="002A3160">
              <w:rPr>
                <w:b/>
                <w:sz w:val="20"/>
                <w:szCs w:val="20"/>
              </w:rPr>
              <w:t>$65,623</w:t>
            </w:r>
          </w:p>
        </w:tc>
      </w:tr>
      <w:tr w:rsidR="002A3160" w:rsidRPr="002A3160" w14:paraId="0A5F4374" w14:textId="77777777" w:rsidTr="000054D2">
        <w:trPr>
          <w:trHeight w:val="20"/>
        </w:trPr>
        <w:tc>
          <w:tcPr>
            <w:tcW w:w="2115" w:type="pct"/>
          </w:tcPr>
          <w:p w14:paraId="5587BDAF" w14:textId="77777777" w:rsidR="002A3160" w:rsidRPr="000C7CFC" w:rsidRDefault="002A3160" w:rsidP="000054D2">
            <w:pPr>
              <w:pStyle w:val="TableParagraph"/>
              <w:spacing w:before="100" w:beforeAutospacing="1" w:after="100" w:afterAutospacing="1"/>
              <w:ind w:left="44"/>
              <w:jc w:val="left"/>
              <w:rPr>
                <w:b/>
                <w:sz w:val="20"/>
                <w:szCs w:val="20"/>
              </w:rPr>
            </w:pPr>
            <w:r w:rsidRPr="000C7CFC">
              <w:rPr>
                <w:b/>
                <w:sz w:val="20"/>
                <w:szCs w:val="20"/>
              </w:rPr>
              <w:t>Federal  Categorical Grants</w:t>
            </w:r>
          </w:p>
        </w:tc>
        <w:tc>
          <w:tcPr>
            <w:tcW w:w="646" w:type="pct"/>
          </w:tcPr>
          <w:p w14:paraId="5384C82D" w14:textId="49395FC0" w:rsidR="002A3160" w:rsidRPr="002A3160" w:rsidRDefault="002A3160" w:rsidP="000054D2">
            <w:pPr>
              <w:spacing w:before="100" w:beforeAutospacing="1" w:afterAutospacing="1"/>
              <w:jc w:val="right"/>
              <w:rPr>
                <w:b/>
                <w:sz w:val="20"/>
                <w:szCs w:val="20"/>
              </w:rPr>
            </w:pPr>
            <w:r w:rsidRPr="002A3160">
              <w:rPr>
                <w:b/>
                <w:sz w:val="20"/>
                <w:szCs w:val="20"/>
              </w:rPr>
              <w:t>$8,650</w:t>
            </w:r>
          </w:p>
        </w:tc>
        <w:tc>
          <w:tcPr>
            <w:tcW w:w="577" w:type="pct"/>
          </w:tcPr>
          <w:p w14:paraId="28004BE1" w14:textId="391B1A1F" w:rsidR="002A3160" w:rsidRPr="002A3160" w:rsidRDefault="002A3160" w:rsidP="000054D2">
            <w:pPr>
              <w:spacing w:before="100" w:beforeAutospacing="1" w:afterAutospacing="1"/>
              <w:jc w:val="right"/>
              <w:rPr>
                <w:b/>
                <w:sz w:val="20"/>
                <w:szCs w:val="20"/>
              </w:rPr>
            </w:pPr>
            <w:r w:rsidRPr="002A3160">
              <w:rPr>
                <w:b/>
                <w:sz w:val="20"/>
                <w:szCs w:val="20"/>
              </w:rPr>
              <w:t>$7,219</w:t>
            </w:r>
          </w:p>
        </w:tc>
        <w:tc>
          <w:tcPr>
            <w:tcW w:w="577" w:type="pct"/>
          </w:tcPr>
          <w:p w14:paraId="2E6BAEF0" w14:textId="5FC5FB24" w:rsidR="002A3160" w:rsidRPr="002A3160" w:rsidRDefault="002A3160" w:rsidP="000054D2">
            <w:pPr>
              <w:spacing w:before="100" w:beforeAutospacing="1" w:afterAutospacing="1"/>
              <w:jc w:val="right"/>
              <w:rPr>
                <w:b/>
                <w:sz w:val="20"/>
                <w:szCs w:val="20"/>
              </w:rPr>
            </w:pPr>
            <w:r w:rsidRPr="002A3160">
              <w:rPr>
                <w:b/>
                <w:sz w:val="20"/>
                <w:szCs w:val="20"/>
              </w:rPr>
              <w:t>$6,973</w:t>
            </w:r>
          </w:p>
        </w:tc>
        <w:tc>
          <w:tcPr>
            <w:tcW w:w="577" w:type="pct"/>
          </w:tcPr>
          <w:p w14:paraId="7422E980" w14:textId="494072CA" w:rsidR="002A3160" w:rsidRPr="002A3160" w:rsidRDefault="002A3160" w:rsidP="000054D2">
            <w:pPr>
              <w:spacing w:before="100" w:beforeAutospacing="1" w:afterAutospacing="1"/>
              <w:jc w:val="right"/>
              <w:rPr>
                <w:b/>
                <w:sz w:val="20"/>
                <w:szCs w:val="20"/>
              </w:rPr>
            </w:pPr>
            <w:r w:rsidRPr="002A3160">
              <w:rPr>
                <w:b/>
                <w:sz w:val="20"/>
                <w:szCs w:val="20"/>
              </w:rPr>
              <w:t>$6,955</w:t>
            </w:r>
          </w:p>
        </w:tc>
        <w:tc>
          <w:tcPr>
            <w:tcW w:w="508" w:type="pct"/>
          </w:tcPr>
          <w:p w14:paraId="7A64DC2A" w14:textId="488079A3" w:rsidR="002A3160" w:rsidRPr="002A3160" w:rsidRDefault="002A3160" w:rsidP="000054D2">
            <w:pPr>
              <w:spacing w:before="100" w:beforeAutospacing="1" w:afterAutospacing="1"/>
              <w:jc w:val="right"/>
              <w:rPr>
                <w:b/>
                <w:sz w:val="20"/>
                <w:szCs w:val="20"/>
              </w:rPr>
            </w:pPr>
            <w:r w:rsidRPr="002A3160">
              <w:rPr>
                <w:b/>
                <w:sz w:val="20"/>
                <w:szCs w:val="20"/>
              </w:rPr>
              <w:t>$6,939</w:t>
            </w:r>
          </w:p>
        </w:tc>
      </w:tr>
      <w:tr w:rsidR="002A3160" w:rsidRPr="002A3160" w14:paraId="1BBDF7F0" w14:textId="77777777" w:rsidTr="000054D2">
        <w:trPr>
          <w:trHeight w:val="20"/>
        </w:trPr>
        <w:tc>
          <w:tcPr>
            <w:tcW w:w="2115" w:type="pct"/>
          </w:tcPr>
          <w:p w14:paraId="03AB66ED" w14:textId="77777777" w:rsidR="002A3160" w:rsidRPr="000C7CFC" w:rsidRDefault="002A3160" w:rsidP="000054D2">
            <w:pPr>
              <w:pStyle w:val="TableParagraph"/>
              <w:spacing w:before="100" w:beforeAutospacing="1" w:after="100" w:afterAutospacing="1"/>
              <w:ind w:left="44"/>
              <w:jc w:val="left"/>
              <w:rPr>
                <w:b/>
                <w:sz w:val="20"/>
                <w:szCs w:val="20"/>
              </w:rPr>
            </w:pPr>
            <w:r w:rsidRPr="000C7CFC">
              <w:rPr>
                <w:b/>
                <w:sz w:val="20"/>
                <w:szCs w:val="20"/>
              </w:rPr>
              <w:t>State  Categorical Grants</w:t>
            </w:r>
          </w:p>
        </w:tc>
        <w:tc>
          <w:tcPr>
            <w:tcW w:w="646" w:type="pct"/>
          </w:tcPr>
          <w:p w14:paraId="619844E6" w14:textId="03C73C48" w:rsidR="002A3160" w:rsidRPr="002A3160" w:rsidRDefault="002A3160" w:rsidP="000054D2">
            <w:pPr>
              <w:spacing w:before="100" w:beforeAutospacing="1" w:afterAutospacing="1"/>
              <w:jc w:val="right"/>
              <w:rPr>
                <w:b/>
                <w:sz w:val="20"/>
                <w:szCs w:val="20"/>
              </w:rPr>
            </w:pPr>
            <w:r w:rsidRPr="002A3160">
              <w:rPr>
                <w:b/>
                <w:sz w:val="20"/>
                <w:szCs w:val="20"/>
              </w:rPr>
              <w:t>$14,776</w:t>
            </w:r>
          </w:p>
        </w:tc>
        <w:tc>
          <w:tcPr>
            <w:tcW w:w="577" w:type="pct"/>
          </w:tcPr>
          <w:p w14:paraId="29980B3D" w14:textId="0D605660" w:rsidR="002A3160" w:rsidRPr="002A3160" w:rsidRDefault="002A3160" w:rsidP="000054D2">
            <w:pPr>
              <w:spacing w:before="100" w:beforeAutospacing="1" w:afterAutospacing="1"/>
              <w:jc w:val="right"/>
              <w:rPr>
                <w:b/>
                <w:sz w:val="20"/>
                <w:szCs w:val="20"/>
              </w:rPr>
            </w:pPr>
            <w:r w:rsidRPr="002A3160">
              <w:rPr>
                <w:b/>
                <w:sz w:val="20"/>
                <w:szCs w:val="20"/>
              </w:rPr>
              <w:t>$14,968</w:t>
            </w:r>
          </w:p>
        </w:tc>
        <w:tc>
          <w:tcPr>
            <w:tcW w:w="577" w:type="pct"/>
          </w:tcPr>
          <w:p w14:paraId="48F3FB47" w14:textId="43DE478A" w:rsidR="002A3160" w:rsidRPr="002A3160" w:rsidRDefault="002A3160" w:rsidP="000054D2">
            <w:pPr>
              <w:spacing w:before="100" w:beforeAutospacing="1" w:afterAutospacing="1"/>
              <w:jc w:val="right"/>
              <w:rPr>
                <w:b/>
                <w:sz w:val="20"/>
                <w:szCs w:val="20"/>
              </w:rPr>
            </w:pPr>
            <w:r w:rsidRPr="002A3160">
              <w:rPr>
                <w:b/>
                <w:sz w:val="20"/>
                <w:szCs w:val="20"/>
              </w:rPr>
              <w:t>$15,463</w:t>
            </w:r>
          </w:p>
        </w:tc>
        <w:tc>
          <w:tcPr>
            <w:tcW w:w="577" w:type="pct"/>
          </w:tcPr>
          <w:p w14:paraId="52FB9DA5" w14:textId="416B487B" w:rsidR="002A3160" w:rsidRPr="002A3160" w:rsidRDefault="002A3160" w:rsidP="000054D2">
            <w:pPr>
              <w:spacing w:before="100" w:beforeAutospacing="1" w:afterAutospacing="1"/>
              <w:jc w:val="right"/>
              <w:rPr>
                <w:b/>
                <w:sz w:val="20"/>
                <w:szCs w:val="20"/>
              </w:rPr>
            </w:pPr>
            <w:r w:rsidRPr="002A3160">
              <w:rPr>
                <w:b/>
                <w:sz w:val="20"/>
                <w:szCs w:val="20"/>
              </w:rPr>
              <w:t>$15,838</w:t>
            </w:r>
          </w:p>
        </w:tc>
        <w:tc>
          <w:tcPr>
            <w:tcW w:w="508" w:type="pct"/>
          </w:tcPr>
          <w:p w14:paraId="19DBAE64" w14:textId="4BC87E3C" w:rsidR="002A3160" w:rsidRPr="002A3160" w:rsidRDefault="002A3160" w:rsidP="000054D2">
            <w:pPr>
              <w:spacing w:before="100" w:beforeAutospacing="1" w:afterAutospacing="1"/>
              <w:jc w:val="right"/>
              <w:rPr>
                <w:b/>
                <w:sz w:val="20"/>
                <w:szCs w:val="20"/>
              </w:rPr>
            </w:pPr>
            <w:r w:rsidRPr="002A3160">
              <w:rPr>
                <w:b/>
                <w:sz w:val="20"/>
                <w:szCs w:val="20"/>
              </w:rPr>
              <w:t>$16,251</w:t>
            </w:r>
          </w:p>
        </w:tc>
      </w:tr>
      <w:tr w:rsidR="002A3160" w:rsidRPr="002A3160" w14:paraId="02867A97" w14:textId="77777777" w:rsidTr="000054D2">
        <w:trPr>
          <w:trHeight w:val="20"/>
        </w:trPr>
        <w:tc>
          <w:tcPr>
            <w:tcW w:w="2115" w:type="pct"/>
          </w:tcPr>
          <w:p w14:paraId="61DD8236" w14:textId="70CC965C" w:rsidR="002A3160" w:rsidRPr="000C7CFC" w:rsidRDefault="002A3160" w:rsidP="000054D2">
            <w:pPr>
              <w:pStyle w:val="TableParagraph"/>
              <w:spacing w:before="100" w:beforeAutospacing="1" w:after="100" w:afterAutospacing="1"/>
              <w:ind w:left="44"/>
              <w:jc w:val="left"/>
              <w:rPr>
                <w:b/>
                <w:sz w:val="20"/>
                <w:szCs w:val="20"/>
              </w:rPr>
            </w:pPr>
            <w:r w:rsidRPr="000C7CFC">
              <w:rPr>
                <w:b/>
                <w:sz w:val="20"/>
                <w:szCs w:val="20"/>
              </w:rPr>
              <w:t>Non-Governmental Grants (Other Cat.)</w:t>
            </w:r>
          </w:p>
        </w:tc>
        <w:tc>
          <w:tcPr>
            <w:tcW w:w="646" w:type="pct"/>
          </w:tcPr>
          <w:p w14:paraId="09D92B29" w14:textId="659F9EAF" w:rsidR="002A3160" w:rsidRPr="002A3160" w:rsidRDefault="002A3160" w:rsidP="000054D2">
            <w:pPr>
              <w:spacing w:before="100" w:beforeAutospacing="1" w:afterAutospacing="1"/>
              <w:jc w:val="right"/>
              <w:rPr>
                <w:b/>
                <w:sz w:val="20"/>
                <w:szCs w:val="20"/>
              </w:rPr>
            </w:pPr>
            <w:r w:rsidRPr="002A3160">
              <w:rPr>
                <w:b/>
                <w:sz w:val="20"/>
                <w:szCs w:val="20"/>
              </w:rPr>
              <w:t>$1,772</w:t>
            </w:r>
          </w:p>
        </w:tc>
        <w:tc>
          <w:tcPr>
            <w:tcW w:w="577" w:type="pct"/>
          </w:tcPr>
          <w:p w14:paraId="6B5979B1" w14:textId="37978614" w:rsidR="002A3160" w:rsidRPr="002A3160" w:rsidRDefault="002A3160" w:rsidP="000054D2">
            <w:pPr>
              <w:spacing w:before="100" w:beforeAutospacing="1" w:afterAutospacing="1"/>
              <w:jc w:val="right"/>
              <w:rPr>
                <w:b/>
                <w:sz w:val="20"/>
                <w:szCs w:val="20"/>
              </w:rPr>
            </w:pPr>
            <w:r w:rsidRPr="002A3160">
              <w:rPr>
                <w:b/>
                <w:sz w:val="20"/>
                <w:szCs w:val="20"/>
              </w:rPr>
              <w:t>$1,540</w:t>
            </w:r>
          </w:p>
        </w:tc>
        <w:tc>
          <w:tcPr>
            <w:tcW w:w="577" w:type="pct"/>
          </w:tcPr>
          <w:p w14:paraId="629E652C" w14:textId="4AFF7353" w:rsidR="002A3160" w:rsidRPr="002A3160" w:rsidRDefault="002A3160" w:rsidP="000054D2">
            <w:pPr>
              <w:spacing w:before="100" w:beforeAutospacing="1" w:afterAutospacing="1"/>
              <w:jc w:val="right"/>
              <w:rPr>
                <w:b/>
                <w:sz w:val="20"/>
                <w:szCs w:val="20"/>
              </w:rPr>
            </w:pPr>
            <w:r w:rsidRPr="002A3160">
              <w:rPr>
                <w:b/>
                <w:sz w:val="20"/>
                <w:szCs w:val="20"/>
              </w:rPr>
              <w:t>$1,466</w:t>
            </w:r>
          </w:p>
        </w:tc>
        <w:tc>
          <w:tcPr>
            <w:tcW w:w="577" w:type="pct"/>
          </w:tcPr>
          <w:p w14:paraId="719C3C25" w14:textId="44F80A9F" w:rsidR="002A3160" w:rsidRPr="002A3160" w:rsidRDefault="002A3160" w:rsidP="000054D2">
            <w:pPr>
              <w:spacing w:before="100" w:beforeAutospacing="1" w:afterAutospacing="1"/>
              <w:jc w:val="right"/>
              <w:rPr>
                <w:b/>
                <w:sz w:val="20"/>
                <w:szCs w:val="20"/>
              </w:rPr>
            </w:pPr>
            <w:r w:rsidRPr="002A3160">
              <w:rPr>
                <w:b/>
                <w:sz w:val="20"/>
                <w:szCs w:val="20"/>
              </w:rPr>
              <w:t>$1,460</w:t>
            </w:r>
          </w:p>
        </w:tc>
        <w:tc>
          <w:tcPr>
            <w:tcW w:w="508" w:type="pct"/>
          </w:tcPr>
          <w:p w14:paraId="11BC5E9D" w14:textId="7ABC5CEF" w:rsidR="002A3160" w:rsidRPr="002A3160" w:rsidRDefault="002A3160" w:rsidP="000054D2">
            <w:pPr>
              <w:spacing w:before="100" w:beforeAutospacing="1" w:afterAutospacing="1"/>
              <w:jc w:val="right"/>
              <w:rPr>
                <w:b/>
                <w:sz w:val="20"/>
                <w:szCs w:val="20"/>
              </w:rPr>
            </w:pPr>
            <w:r w:rsidRPr="002A3160">
              <w:rPr>
                <w:b/>
                <w:sz w:val="20"/>
                <w:szCs w:val="20"/>
              </w:rPr>
              <w:t>$1,460</w:t>
            </w:r>
          </w:p>
        </w:tc>
      </w:tr>
      <w:tr w:rsidR="002A3160" w:rsidRPr="002A3160" w14:paraId="42BC2CE0" w14:textId="77777777" w:rsidTr="000054D2">
        <w:trPr>
          <w:trHeight w:val="20"/>
        </w:trPr>
        <w:tc>
          <w:tcPr>
            <w:tcW w:w="2115" w:type="pct"/>
          </w:tcPr>
          <w:p w14:paraId="7C19A641" w14:textId="77777777" w:rsidR="002A3160" w:rsidRPr="000C7CFC" w:rsidRDefault="002A3160" w:rsidP="000054D2">
            <w:pPr>
              <w:pStyle w:val="TableParagraph"/>
              <w:spacing w:before="100" w:beforeAutospacing="1" w:after="100" w:afterAutospacing="1"/>
              <w:ind w:left="44"/>
              <w:jc w:val="left"/>
              <w:rPr>
                <w:b/>
                <w:sz w:val="20"/>
                <w:szCs w:val="20"/>
              </w:rPr>
            </w:pPr>
            <w:r w:rsidRPr="000C7CFC">
              <w:rPr>
                <w:b/>
                <w:sz w:val="20"/>
                <w:szCs w:val="20"/>
              </w:rPr>
              <w:t>Unrest. /  Anticipated State  &amp; Federal Aid</w:t>
            </w:r>
          </w:p>
        </w:tc>
        <w:tc>
          <w:tcPr>
            <w:tcW w:w="646" w:type="pct"/>
          </w:tcPr>
          <w:p w14:paraId="7F0BFCAE" w14:textId="27464199" w:rsidR="002A3160" w:rsidRPr="002A3160" w:rsidRDefault="002A3160" w:rsidP="000054D2">
            <w:pPr>
              <w:spacing w:before="100" w:beforeAutospacing="1" w:afterAutospacing="1"/>
              <w:jc w:val="right"/>
              <w:rPr>
                <w:b/>
                <w:sz w:val="20"/>
                <w:szCs w:val="20"/>
              </w:rPr>
            </w:pPr>
            <w:r w:rsidRPr="002A3160">
              <w:rPr>
                <w:b/>
                <w:sz w:val="20"/>
                <w:szCs w:val="20"/>
              </w:rPr>
              <w:t>$0</w:t>
            </w:r>
          </w:p>
        </w:tc>
        <w:tc>
          <w:tcPr>
            <w:tcW w:w="577" w:type="pct"/>
          </w:tcPr>
          <w:p w14:paraId="09E993BA" w14:textId="4D4F5F53" w:rsidR="002A3160" w:rsidRPr="002A3160" w:rsidRDefault="002A3160" w:rsidP="000054D2">
            <w:pPr>
              <w:spacing w:before="100" w:beforeAutospacing="1" w:afterAutospacing="1"/>
              <w:jc w:val="right"/>
              <w:rPr>
                <w:b/>
                <w:sz w:val="20"/>
                <w:szCs w:val="20"/>
              </w:rPr>
            </w:pPr>
            <w:r w:rsidRPr="002A3160">
              <w:rPr>
                <w:b/>
                <w:sz w:val="20"/>
                <w:szCs w:val="20"/>
              </w:rPr>
              <w:t>$0</w:t>
            </w:r>
          </w:p>
        </w:tc>
        <w:tc>
          <w:tcPr>
            <w:tcW w:w="577" w:type="pct"/>
          </w:tcPr>
          <w:p w14:paraId="60D50B6E" w14:textId="7908DDB2" w:rsidR="002A3160" w:rsidRPr="002A3160" w:rsidRDefault="002A3160" w:rsidP="000054D2">
            <w:pPr>
              <w:spacing w:before="100" w:beforeAutospacing="1" w:afterAutospacing="1"/>
              <w:jc w:val="right"/>
              <w:rPr>
                <w:b/>
                <w:sz w:val="20"/>
                <w:szCs w:val="20"/>
              </w:rPr>
            </w:pPr>
            <w:r w:rsidRPr="002A3160">
              <w:rPr>
                <w:b/>
                <w:sz w:val="20"/>
                <w:szCs w:val="20"/>
              </w:rPr>
              <w:t>$0</w:t>
            </w:r>
          </w:p>
        </w:tc>
        <w:tc>
          <w:tcPr>
            <w:tcW w:w="577" w:type="pct"/>
          </w:tcPr>
          <w:p w14:paraId="68245207" w14:textId="642E011B" w:rsidR="002A3160" w:rsidRPr="002A3160" w:rsidRDefault="002A3160" w:rsidP="000054D2">
            <w:pPr>
              <w:spacing w:before="100" w:beforeAutospacing="1" w:afterAutospacing="1"/>
              <w:jc w:val="right"/>
              <w:rPr>
                <w:b/>
                <w:sz w:val="20"/>
                <w:szCs w:val="20"/>
              </w:rPr>
            </w:pPr>
            <w:r w:rsidRPr="002A3160">
              <w:rPr>
                <w:b/>
                <w:sz w:val="20"/>
                <w:szCs w:val="20"/>
              </w:rPr>
              <w:t>$0</w:t>
            </w:r>
          </w:p>
        </w:tc>
        <w:tc>
          <w:tcPr>
            <w:tcW w:w="508" w:type="pct"/>
          </w:tcPr>
          <w:p w14:paraId="546BB2EE" w14:textId="53ED43FF" w:rsidR="002A3160" w:rsidRPr="002A3160" w:rsidRDefault="002A3160" w:rsidP="000054D2">
            <w:pPr>
              <w:spacing w:before="100" w:beforeAutospacing="1" w:afterAutospacing="1"/>
              <w:jc w:val="right"/>
              <w:rPr>
                <w:b/>
                <w:sz w:val="20"/>
                <w:szCs w:val="20"/>
              </w:rPr>
            </w:pPr>
            <w:r w:rsidRPr="002A3160">
              <w:rPr>
                <w:b/>
                <w:sz w:val="20"/>
                <w:szCs w:val="20"/>
              </w:rPr>
              <w:t>$0</w:t>
            </w:r>
          </w:p>
        </w:tc>
      </w:tr>
      <w:tr w:rsidR="003558D0" w:rsidRPr="002A3160" w14:paraId="4F02C721" w14:textId="77777777" w:rsidTr="000054D2">
        <w:trPr>
          <w:trHeight w:val="20"/>
        </w:trPr>
        <w:tc>
          <w:tcPr>
            <w:tcW w:w="2115" w:type="pct"/>
          </w:tcPr>
          <w:p w14:paraId="4812741A" w14:textId="77777777" w:rsidR="003558D0" w:rsidRPr="000C7CFC" w:rsidRDefault="003558D0" w:rsidP="000054D2">
            <w:pPr>
              <w:pStyle w:val="TableParagraph"/>
              <w:spacing w:before="100" w:beforeAutospacing="1" w:after="100" w:afterAutospacing="1"/>
              <w:ind w:left="44"/>
              <w:jc w:val="left"/>
              <w:rPr>
                <w:b/>
                <w:sz w:val="20"/>
                <w:szCs w:val="20"/>
              </w:rPr>
            </w:pPr>
            <w:r w:rsidRPr="000C7CFC">
              <w:rPr>
                <w:b/>
                <w:sz w:val="20"/>
                <w:szCs w:val="20"/>
              </w:rPr>
              <w:t>Miscellaneous Revenue</w:t>
            </w:r>
          </w:p>
        </w:tc>
        <w:tc>
          <w:tcPr>
            <w:tcW w:w="646" w:type="pct"/>
          </w:tcPr>
          <w:p w14:paraId="06FCE469" w14:textId="33499B3E" w:rsidR="003558D0" w:rsidRPr="002A3160" w:rsidRDefault="003558D0" w:rsidP="000054D2">
            <w:pPr>
              <w:spacing w:before="100" w:beforeAutospacing="1" w:afterAutospacing="1"/>
              <w:jc w:val="right"/>
              <w:rPr>
                <w:b/>
                <w:sz w:val="20"/>
                <w:szCs w:val="20"/>
              </w:rPr>
            </w:pPr>
          </w:p>
        </w:tc>
        <w:tc>
          <w:tcPr>
            <w:tcW w:w="577" w:type="pct"/>
          </w:tcPr>
          <w:p w14:paraId="2ED35741" w14:textId="45178B58" w:rsidR="003558D0" w:rsidRPr="002A3160" w:rsidRDefault="003558D0" w:rsidP="000054D2">
            <w:pPr>
              <w:spacing w:before="100" w:beforeAutospacing="1" w:afterAutospacing="1"/>
              <w:jc w:val="right"/>
              <w:rPr>
                <w:b/>
                <w:sz w:val="20"/>
                <w:szCs w:val="20"/>
              </w:rPr>
            </w:pPr>
          </w:p>
        </w:tc>
        <w:tc>
          <w:tcPr>
            <w:tcW w:w="577" w:type="pct"/>
          </w:tcPr>
          <w:p w14:paraId="7CC71A8C" w14:textId="100258DB" w:rsidR="003558D0" w:rsidRPr="002A3160" w:rsidRDefault="003558D0" w:rsidP="000054D2">
            <w:pPr>
              <w:spacing w:before="100" w:beforeAutospacing="1" w:afterAutospacing="1"/>
              <w:jc w:val="right"/>
              <w:rPr>
                <w:b/>
                <w:sz w:val="20"/>
                <w:szCs w:val="20"/>
              </w:rPr>
            </w:pPr>
          </w:p>
        </w:tc>
        <w:tc>
          <w:tcPr>
            <w:tcW w:w="577" w:type="pct"/>
          </w:tcPr>
          <w:p w14:paraId="7D526710" w14:textId="2D617CED" w:rsidR="003558D0" w:rsidRPr="002A3160" w:rsidRDefault="003558D0" w:rsidP="000054D2">
            <w:pPr>
              <w:spacing w:before="100" w:beforeAutospacing="1" w:afterAutospacing="1"/>
              <w:jc w:val="right"/>
              <w:rPr>
                <w:b/>
                <w:sz w:val="20"/>
                <w:szCs w:val="20"/>
              </w:rPr>
            </w:pPr>
          </w:p>
        </w:tc>
        <w:tc>
          <w:tcPr>
            <w:tcW w:w="508" w:type="pct"/>
          </w:tcPr>
          <w:p w14:paraId="5D48DAE7" w14:textId="3BA112F8" w:rsidR="003558D0" w:rsidRPr="002A3160" w:rsidRDefault="003558D0" w:rsidP="000054D2">
            <w:pPr>
              <w:spacing w:before="100" w:beforeAutospacing="1" w:afterAutospacing="1"/>
              <w:jc w:val="right"/>
              <w:rPr>
                <w:b/>
                <w:sz w:val="20"/>
                <w:szCs w:val="20"/>
              </w:rPr>
            </w:pPr>
          </w:p>
        </w:tc>
      </w:tr>
      <w:tr w:rsidR="002A3160" w:rsidRPr="000C7CFC" w14:paraId="0A8BC241" w14:textId="77777777" w:rsidTr="000054D2">
        <w:trPr>
          <w:trHeight w:val="20"/>
        </w:trPr>
        <w:tc>
          <w:tcPr>
            <w:tcW w:w="2115" w:type="pct"/>
          </w:tcPr>
          <w:p w14:paraId="389E1674"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Charges  for Services</w:t>
            </w:r>
          </w:p>
        </w:tc>
        <w:tc>
          <w:tcPr>
            <w:tcW w:w="646" w:type="pct"/>
          </w:tcPr>
          <w:p w14:paraId="23D03556" w14:textId="6C5ED385" w:rsidR="002A3160" w:rsidRPr="000C7CFC" w:rsidRDefault="002A3160" w:rsidP="000054D2">
            <w:pPr>
              <w:spacing w:before="100" w:beforeAutospacing="1" w:afterAutospacing="1"/>
              <w:jc w:val="right"/>
              <w:rPr>
                <w:sz w:val="20"/>
                <w:szCs w:val="20"/>
              </w:rPr>
            </w:pPr>
            <w:r w:rsidRPr="000C7CFC">
              <w:rPr>
                <w:sz w:val="20"/>
                <w:szCs w:val="20"/>
              </w:rPr>
              <w:t>1,006</w:t>
            </w:r>
          </w:p>
        </w:tc>
        <w:tc>
          <w:tcPr>
            <w:tcW w:w="577" w:type="pct"/>
          </w:tcPr>
          <w:p w14:paraId="059AEBE1" w14:textId="0CE586C3" w:rsidR="002A3160" w:rsidRPr="000C7CFC" w:rsidRDefault="002A3160" w:rsidP="000054D2">
            <w:pPr>
              <w:spacing w:before="100" w:beforeAutospacing="1" w:afterAutospacing="1"/>
              <w:jc w:val="right"/>
              <w:rPr>
                <w:sz w:val="20"/>
                <w:szCs w:val="20"/>
              </w:rPr>
            </w:pPr>
            <w:r w:rsidRPr="000C7CFC">
              <w:rPr>
                <w:sz w:val="20"/>
                <w:szCs w:val="20"/>
              </w:rPr>
              <w:t>985</w:t>
            </w:r>
          </w:p>
        </w:tc>
        <w:tc>
          <w:tcPr>
            <w:tcW w:w="577" w:type="pct"/>
          </w:tcPr>
          <w:p w14:paraId="2357BCBB" w14:textId="5C6F9A9D" w:rsidR="002A3160" w:rsidRPr="000C7CFC" w:rsidRDefault="002A3160" w:rsidP="000054D2">
            <w:pPr>
              <w:spacing w:before="100" w:beforeAutospacing="1" w:afterAutospacing="1"/>
              <w:jc w:val="right"/>
              <w:rPr>
                <w:sz w:val="20"/>
                <w:szCs w:val="20"/>
              </w:rPr>
            </w:pPr>
            <w:r w:rsidRPr="000C7CFC">
              <w:rPr>
                <w:sz w:val="20"/>
                <w:szCs w:val="20"/>
              </w:rPr>
              <w:t>984</w:t>
            </w:r>
          </w:p>
        </w:tc>
        <w:tc>
          <w:tcPr>
            <w:tcW w:w="577" w:type="pct"/>
          </w:tcPr>
          <w:p w14:paraId="77F008EE" w14:textId="408B6695" w:rsidR="002A3160" w:rsidRPr="000C7CFC" w:rsidRDefault="002A3160" w:rsidP="000054D2">
            <w:pPr>
              <w:spacing w:before="100" w:beforeAutospacing="1" w:afterAutospacing="1"/>
              <w:jc w:val="right"/>
              <w:rPr>
                <w:sz w:val="20"/>
                <w:szCs w:val="20"/>
              </w:rPr>
            </w:pPr>
            <w:r w:rsidRPr="000C7CFC">
              <w:rPr>
                <w:sz w:val="20"/>
                <w:szCs w:val="20"/>
              </w:rPr>
              <w:t>984</w:t>
            </w:r>
          </w:p>
        </w:tc>
        <w:tc>
          <w:tcPr>
            <w:tcW w:w="508" w:type="pct"/>
          </w:tcPr>
          <w:p w14:paraId="4E9378BD" w14:textId="3EEB2B09" w:rsidR="002A3160" w:rsidRPr="000C7CFC" w:rsidRDefault="002A3160" w:rsidP="000054D2">
            <w:pPr>
              <w:spacing w:before="100" w:beforeAutospacing="1" w:afterAutospacing="1"/>
              <w:jc w:val="right"/>
              <w:rPr>
                <w:sz w:val="20"/>
                <w:szCs w:val="20"/>
              </w:rPr>
            </w:pPr>
            <w:r w:rsidRPr="000C7CFC">
              <w:rPr>
                <w:sz w:val="20"/>
                <w:szCs w:val="20"/>
              </w:rPr>
              <w:t>984</w:t>
            </w:r>
          </w:p>
        </w:tc>
      </w:tr>
      <w:tr w:rsidR="002A3160" w:rsidRPr="000C7CFC" w14:paraId="53CD3415" w14:textId="77777777" w:rsidTr="000054D2">
        <w:trPr>
          <w:trHeight w:val="20"/>
        </w:trPr>
        <w:tc>
          <w:tcPr>
            <w:tcW w:w="2115" w:type="pct"/>
          </w:tcPr>
          <w:p w14:paraId="2EA7F80E"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Water  and Sewer Charges</w:t>
            </w:r>
          </w:p>
        </w:tc>
        <w:tc>
          <w:tcPr>
            <w:tcW w:w="646" w:type="pct"/>
          </w:tcPr>
          <w:p w14:paraId="7CE3ECA7" w14:textId="5EDEC7FE" w:rsidR="002A3160" w:rsidRPr="000C7CFC" w:rsidRDefault="002A3160" w:rsidP="000054D2">
            <w:pPr>
              <w:spacing w:before="100" w:beforeAutospacing="1" w:afterAutospacing="1"/>
              <w:jc w:val="right"/>
              <w:rPr>
                <w:sz w:val="20"/>
                <w:szCs w:val="20"/>
              </w:rPr>
            </w:pPr>
            <w:r w:rsidRPr="000C7CFC">
              <w:rPr>
                <w:sz w:val="20"/>
                <w:szCs w:val="20"/>
              </w:rPr>
              <w:t>1,424</w:t>
            </w:r>
          </w:p>
        </w:tc>
        <w:tc>
          <w:tcPr>
            <w:tcW w:w="577" w:type="pct"/>
          </w:tcPr>
          <w:p w14:paraId="4EFAAC04" w14:textId="23AB3F4E" w:rsidR="002A3160" w:rsidRPr="000C7CFC" w:rsidRDefault="002A3160" w:rsidP="000054D2">
            <w:pPr>
              <w:spacing w:before="100" w:beforeAutospacing="1" w:afterAutospacing="1"/>
              <w:jc w:val="right"/>
              <w:rPr>
                <w:sz w:val="20"/>
                <w:szCs w:val="20"/>
              </w:rPr>
            </w:pPr>
            <w:r w:rsidRPr="000C7CFC">
              <w:rPr>
                <w:sz w:val="20"/>
                <w:szCs w:val="20"/>
              </w:rPr>
              <w:t>1,393</w:t>
            </w:r>
          </w:p>
        </w:tc>
        <w:tc>
          <w:tcPr>
            <w:tcW w:w="577" w:type="pct"/>
          </w:tcPr>
          <w:p w14:paraId="01A5FE48" w14:textId="7BA8599E" w:rsidR="002A3160" w:rsidRPr="000C7CFC" w:rsidRDefault="002A3160" w:rsidP="000054D2">
            <w:pPr>
              <w:spacing w:before="100" w:beforeAutospacing="1" w:afterAutospacing="1"/>
              <w:jc w:val="right"/>
              <w:rPr>
                <w:sz w:val="20"/>
                <w:szCs w:val="20"/>
              </w:rPr>
            </w:pPr>
            <w:r w:rsidRPr="000C7CFC">
              <w:rPr>
                <w:sz w:val="20"/>
                <w:szCs w:val="20"/>
              </w:rPr>
              <w:t>1,400</w:t>
            </w:r>
          </w:p>
        </w:tc>
        <w:tc>
          <w:tcPr>
            <w:tcW w:w="577" w:type="pct"/>
          </w:tcPr>
          <w:p w14:paraId="5818C80D" w14:textId="0482EAC7" w:rsidR="002A3160" w:rsidRPr="000C7CFC" w:rsidRDefault="002A3160" w:rsidP="000054D2">
            <w:pPr>
              <w:spacing w:before="100" w:beforeAutospacing="1" w:afterAutospacing="1"/>
              <w:jc w:val="right"/>
              <w:rPr>
                <w:sz w:val="20"/>
                <w:szCs w:val="20"/>
              </w:rPr>
            </w:pPr>
            <w:r w:rsidRPr="000C7CFC">
              <w:rPr>
                <w:sz w:val="20"/>
                <w:szCs w:val="20"/>
              </w:rPr>
              <w:t>1,392</w:t>
            </w:r>
          </w:p>
        </w:tc>
        <w:tc>
          <w:tcPr>
            <w:tcW w:w="508" w:type="pct"/>
          </w:tcPr>
          <w:p w14:paraId="49BF87E5" w14:textId="2D7588D2" w:rsidR="002A3160" w:rsidRPr="000C7CFC" w:rsidRDefault="002A3160" w:rsidP="000054D2">
            <w:pPr>
              <w:spacing w:before="100" w:beforeAutospacing="1" w:afterAutospacing="1"/>
              <w:jc w:val="right"/>
              <w:rPr>
                <w:sz w:val="20"/>
                <w:szCs w:val="20"/>
              </w:rPr>
            </w:pPr>
            <w:r w:rsidRPr="000C7CFC">
              <w:rPr>
                <w:sz w:val="20"/>
                <w:szCs w:val="20"/>
              </w:rPr>
              <w:t>1,389</w:t>
            </w:r>
          </w:p>
        </w:tc>
      </w:tr>
      <w:tr w:rsidR="002A3160" w:rsidRPr="000C7CFC" w14:paraId="2E61922F" w14:textId="77777777" w:rsidTr="000054D2">
        <w:trPr>
          <w:trHeight w:val="20"/>
        </w:trPr>
        <w:tc>
          <w:tcPr>
            <w:tcW w:w="2115" w:type="pct"/>
          </w:tcPr>
          <w:p w14:paraId="0253E5F2"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Licenses,  Permits, Franchises</w:t>
            </w:r>
          </w:p>
        </w:tc>
        <w:tc>
          <w:tcPr>
            <w:tcW w:w="646" w:type="pct"/>
          </w:tcPr>
          <w:p w14:paraId="67A91FFF" w14:textId="110EA06E" w:rsidR="002A3160" w:rsidRPr="000C7CFC" w:rsidRDefault="002A3160" w:rsidP="000054D2">
            <w:pPr>
              <w:spacing w:before="100" w:beforeAutospacing="1" w:afterAutospacing="1"/>
              <w:jc w:val="right"/>
              <w:rPr>
                <w:sz w:val="20"/>
                <w:szCs w:val="20"/>
              </w:rPr>
            </w:pPr>
            <w:r w:rsidRPr="000C7CFC">
              <w:rPr>
                <w:sz w:val="20"/>
                <w:szCs w:val="20"/>
              </w:rPr>
              <w:t>729</w:t>
            </w:r>
          </w:p>
        </w:tc>
        <w:tc>
          <w:tcPr>
            <w:tcW w:w="577" w:type="pct"/>
          </w:tcPr>
          <w:p w14:paraId="5E3D647C" w14:textId="792D6204" w:rsidR="002A3160" w:rsidRPr="000C7CFC" w:rsidRDefault="002A3160" w:rsidP="000054D2">
            <w:pPr>
              <w:spacing w:before="100" w:beforeAutospacing="1" w:afterAutospacing="1"/>
              <w:jc w:val="right"/>
              <w:rPr>
                <w:sz w:val="20"/>
                <w:szCs w:val="20"/>
              </w:rPr>
            </w:pPr>
            <w:r w:rsidRPr="000C7CFC">
              <w:rPr>
                <w:sz w:val="20"/>
                <w:szCs w:val="20"/>
              </w:rPr>
              <w:t>679</w:t>
            </w:r>
          </w:p>
        </w:tc>
        <w:tc>
          <w:tcPr>
            <w:tcW w:w="577" w:type="pct"/>
          </w:tcPr>
          <w:p w14:paraId="7444DAA3" w14:textId="5D162D49" w:rsidR="002A3160" w:rsidRPr="000C7CFC" w:rsidRDefault="002A3160" w:rsidP="000054D2">
            <w:pPr>
              <w:spacing w:before="100" w:beforeAutospacing="1" w:afterAutospacing="1"/>
              <w:jc w:val="right"/>
              <w:rPr>
                <w:sz w:val="20"/>
                <w:szCs w:val="20"/>
              </w:rPr>
            </w:pPr>
            <w:r w:rsidRPr="000C7CFC">
              <w:rPr>
                <w:sz w:val="20"/>
                <w:szCs w:val="20"/>
              </w:rPr>
              <w:t>695</w:t>
            </w:r>
          </w:p>
        </w:tc>
        <w:tc>
          <w:tcPr>
            <w:tcW w:w="577" w:type="pct"/>
          </w:tcPr>
          <w:p w14:paraId="10848725" w14:textId="36D430D9" w:rsidR="002A3160" w:rsidRPr="000C7CFC" w:rsidRDefault="002A3160" w:rsidP="000054D2">
            <w:pPr>
              <w:spacing w:before="100" w:beforeAutospacing="1" w:afterAutospacing="1"/>
              <w:jc w:val="right"/>
              <w:rPr>
                <w:sz w:val="20"/>
                <w:szCs w:val="20"/>
              </w:rPr>
            </w:pPr>
            <w:r w:rsidRPr="000C7CFC">
              <w:rPr>
                <w:sz w:val="20"/>
                <w:szCs w:val="20"/>
              </w:rPr>
              <w:t>689</w:t>
            </w:r>
          </w:p>
        </w:tc>
        <w:tc>
          <w:tcPr>
            <w:tcW w:w="508" w:type="pct"/>
          </w:tcPr>
          <w:p w14:paraId="47414785" w14:textId="0562BAD2" w:rsidR="002A3160" w:rsidRPr="000C7CFC" w:rsidRDefault="002A3160" w:rsidP="000054D2">
            <w:pPr>
              <w:spacing w:before="100" w:beforeAutospacing="1" w:afterAutospacing="1"/>
              <w:jc w:val="right"/>
              <w:rPr>
                <w:sz w:val="20"/>
                <w:szCs w:val="20"/>
              </w:rPr>
            </w:pPr>
            <w:r w:rsidRPr="000C7CFC">
              <w:rPr>
                <w:sz w:val="20"/>
                <w:szCs w:val="20"/>
              </w:rPr>
              <w:t>692</w:t>
            </w:r>
          </w:p>
        </w:tc>
      </w:tr>
      <w:tr w:rsidR="002A3160" w:rsidRPr="000C7CFC" w14:paraId="4D1BA39E" w14:textId="77777777" w:rsidTr="000054D2">
        <w:trPr>
          <w:trHeight w:val="20"/>
        </w:trPr>
        <w:tc>
          <w:tcPr>
            <w:tcW w:w="2115" w:type="pct"/>
          </w:tcPr>
          <w:p w14:paraId="7031D8E2"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Rental  Income</w:t>
            </w:r>
          </w:p>
        </w:tc>
        <w:tc>
          <w:tcPr>
            <w:tcW w:w="646" w:type="pct"/>
          </w:tcPr>
          <w:p w14:paraId="435A3EB4" w14:textId="37A5B06E" w:rsidR="002A3160" w:rsidRPr="000C7CFC" w:rsidRDefault="002A3160" w:rsidP="000054D2">
            <w:pPr>
              <w:spacing w:before="100" w:beforeAutospacing="1" w:afterAutospacing="1"/>
              <w:jc w:val="right"/>
              <w:rPr>
                <w:sz w:val="20"/>
                <w:szCs w:val="20"/>
              </w:rPr>
            </w:pPr>
            <w:r w:rsidRPr="000C7CFC">
              <w:rPr>
                <w:sz w:val="20"/>
                <w:szCs w:val="20"/>
              </w:rPr>
              <w:t>258</w:t>
            </w:r>
          </w:p>
        </w:tc>
        <w:tc>
          <w:tcPr>
            <w:tcW w:w="577" w:type="pct"/>
          </w:tcPr>
          <w:p w14:paraId="782448BE" w14:textId="6A6E30E5" w:rsidR="002A3160" w:rsidRPr="000C7CFC" w:rsidRDefault="002A3160" w:rsidP="000054D2">
            <w:pPr>
              <w:spacing w:before="100" w:beforeAutospacing="1" w:afterAutospacing="1"/>
              <w:jc w:val="right"/>
              <w:rPr>
                <w:sz w:val="20"/>
                <w:szCs w:val="20"/>
              </w:rPr>
            </w:pPr>
            <w:r w:rsidRPr="000C7CFC">
              <w:rPr>
                <w:sz w:val="20"/>
                <w:szCs w:val="20"/>
              </w:rPr>
              <w:t>254</w:t>
            </w:r>
          </w:p>
        </w:tc>
        <w:tc>
          <w:tcPr>
            <w:tcW w:w="577" w:type="pct"/>
          </w:tcPr>
          <w:p w14:paraId="23079A8F" w14:textId="20569F3B" w:rsidR="002A3160" w:rsidRPr="000C7CFC" w:rsidRDefault="002A3160" w:rsidP="000054D2">
            <w:pPr>
              <w:spacing w:before="100" w:beforeAutospacing="1" w:afterAutospacing="1"/>
              <w:jc w:val="right"/>
              <w:rPr>
                <w:sz w:val="20"/>
                <w:szCs w:val="20"/>
              </w:rPr>
            </w:pPr>
            <w:r w:rsidRPr="000C7CFC">
              <w:rPr>
                <w:sz w:val="20"/>
                <w:szCs w:val="20"/>
              </w:rPr>
              <w:t>250</w:t>
            </w:r>
          </w:p>
        </w:tc>
        <w:tc>
          <w:tcPr>
            <w:tcW w:w="577" w:type="pct"/>
          </w:tcPr>
          <w:p w14:paraId="75C12B66" w14:textId="36274C56" w:rsidR="002A3160" w:rsidRPr="000C7CFC" w:rsidRDefault="002A3160" w:rsidP="000054D2">
            <w:pPr>
              <w:spacing w:before="100" w:beforeAutospacing="1" w:afterAutospacing="1"/>
              <w:jc w:val="right"/>
              <w:rPr>
                <w:sz w:val="20"/>
                <w:szCs w:val="20"/>
              </w:rPr>
            </w:pPr>
            <w:r w:rsidRPr="000C7CFC">
              <w:rPr>
                <w:sz w:val="20"/>
                <w:szCs w:val="20"/>
              </w:rPr>
              <w:t>250</w:t>
            </w:r>
          </w:p>
        </w:tc>
        <w:tc>
          <w:tcPr>
            <w:tcW w:w="508" w:type="pct"/>
          </w:tcPr>
          <w:p w14:paraId="0EAAE4E3" w14:textId="1CA85809" w:rsidR="002A3160" w:rsidRPr="000C7CFC" w:rsidRDefault="002A3160" w:rsidP="000054D2">
            <w:pPr>
              <w:spacing w:before="100" w:beforeAutospacing="1" w:afterAutospacing="1"/>
              <w:jc w:val="right"/>
              <w:rPr>
                <w:sz w:val="20"/>
                <w:szCs w:val="20"/>
              </w:rPr>
            </w:pPr>
            <w:r w:rsidRPr="000C7CFC">
              <w:rPr>
                <w:sz w:val="20"/>
                <w:szCs w:val="20"/>
              </w:rPr>
              <w:t>250</w:t>
            </w:r>
          </w:p>
        </w:tc>
      </w:tr>
      <w:tr w:rsidR="002A3160" w:rsidRPr="000C7CFC" w14:paraId="663B7AE0" w14:textId="77777777" w:rsidTr="000054D2">
        <w:trPr>
          <w:trHeight w:val="20"/>
        </w:trPr>
        <w:tc>
          <w:tcPr>
            <w:tcW w:w="2115" w:type="pct"/>
          </w:tcPr>
          <w:p w14:paraId="3860C55B"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Fines  and Forfeitures</w:t>
            </w:r>
          </w:p>
        </w:tc>
        <w:tc>
          <w:tcPr>
            <w:tcW w:w="646" w:type="pct"/>
          </w:tcPr>
          <w:p w14:paraId="73800F8B" w14:textId="01460E1E" w:rsidR="002A3160" w:rsidRPr="000C7CFC" w:rsidRDefault="002A3160" w:rsidP="000054D2">
            <w:pPr>
              <w:spacing w:before="100" w:beforeAutospacing="1" w:afterAutospacing="1"/>
              <w:jc w:val="right"/>
              <w:rPr>
                <w:sz w:val="20"/>
                <w:szCs w:val="20"/>
              </w:rPr>
            </w:pPr>
            <w:r w:rsidRPr="000C7CFC">
              <w:rPr>
                <w:sz w:val="20"/>
                <w:szCs w:val="20"/>
              </w:rPr>
              <w:t>967</w:t>
            </w:r>
          </w:p>
        </w:tc>
        <w:tc>
          <w:tcPr>
            <w:tcW w:w="577" w:type="pct"/>
          </w:tcPr>
          <w:p w14:paraId="12E13F62" w14:textId="779834E4" w:rsidR="002A3160" w:rsidRPr="000C7CFC" w:rsidRDefault="002A3160" w:rsidP="000054D2">
            <w:pPr>
              <w:spacing w:before="100" w:beforeAutospacing="1" w:afterAutospacing="1"/>
              <w:jc w:val="right"/>
              <w:rPr>
                <w:sz w:val="20"/>
                <w:szCs w:val="20"/>
              </w:rPr>
            </w:pPr>
            <w:r w:rsidRPr="000C7CFC">
              <w:rPr>
                <w:sz w:val="20"/>
                <w:szCs w:val="20"/>
              </w:rPr>
              <w:t>930</w:t>
            </w:r>
          </w:p>
        </w:tc>
        <w:tc>
          <w:tcPr>
            <w:tcW w:w="577" w:type="pct"/>
          </w:tcPr>
          <w:p w14:paraId="66495E0D" w14:textId="2531FE2D" w:rsidR="002A3160" w:rsidRPr="000C7CFC" w:rsidRDefault="002A3160" w:rsidP="000054D2">
            <w:pPr>
              <w:spacing w:before="100" w:beforeAutospacing="1" w:afterAutospacing="1"/>
              <w:jc w:val="right"/>
              <w:rPr>
                <w:sz w:val="20"/>
                <w:szCs w:val="20"/>
              </w:rPr>
            </w:pPr>
            <w:r w:rsidRPr="000C7CFC">
              <w:rPr>
                <w:sz w:val="20"/>
                <w:szCs w:val="20"/>
              </w:rPr>
              <w:t>921</w:t>
            </w:r>
          </w:p>
        </w:tc>
        <w:tc>
          <w:tcPr>
            <w:tcW w:w="577" w:type="pct"/>
          </w:tcPr>
          <w:p w14:paraId="27AA158E" w14:textId="09F0C038" w:rsidR="002A3160" w:rsidRPr="000C7CFC" w:rsidRDefault="002A3160" w:rsidP="000054D2">
            <w:pPr>
              <w:spacing w:before="100" w:beforeAutospacing="1" w:afterAutospacing="1"/>
              <w:jc w:val="right"/>
              <w:rPr>
                <w:sz w:val="20"/>
                <w:szCs w:val="20"/>
              </w:rPr>
            </w:pPr>
            <w:r w:rsidRPr="000C7CFC">
              <w:rPr>
                <w:sz w:val="20"/>
                <w:szCs w:val="20"/>
              </w:rPr>
              <w:t>911</w:t>
            </w:r>
          </w:p>
        </w:tc>
        <w:tc>
          <w:tcPr>
            <w:tcW w:w="508" w:type="pct"/>
          </w:tcPr>
          <w:p w14:paraId="4309B397" w14:textId="740ADCD6" w:rsidR="002A3160" w:rsidRPr="000C7CFC" w:rsidRDefault="002A3160" w:rsidP="000054D2">
            <w:pPr>
              <w:spacing w:before="100" w:beforeAutospacing="1" w:afterAutospacing="1"/>
              <w:jc w:val="right"/>
              <w:rPr>
                <w:sz w:val="20"/>
                <w:szCs w:val="20"/>
              </w:rPr>
            </w:pPr>
            <w:r w:rsidRPr="000C7CFC">
              <w:rPr>
                <w:sz w:val="20"/>
                <w:szCs w:val="20"/>
              </w:rPr>
              <w:t>901</w:t>
            </w:r>
          </w:p>
        </w:tc>
      </w:tr>
      <w:tr w:rsidR="002A3160" w:rsidRPr="000C7CFC" w14:paraId="464826E0" w14:textId="77777777" w:rsidTr="000054D2">
        <w:trPr>
          <w:trHeight w:val="20"/>
        </w:trPr>
        <w:tc>
          <w:tcPr>
            <w:tcW w:w="2115" w:type="pct"/>
          </w:tcPr>
          <w:p w14:paraId="12E5C71C"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Other Miscellaneous</w:t>
            </w:r>
          </w:p>
        </w:tc>
        <w:tc>
          <w:tcPr>
            <w:tcW w:w="646" w:type="pct"/>
          </w:tcPr>
          <w:p w14:paraId="14142796" w14:textId="5FC6FC4B" w:rsidR="002A3160" w:rsidRPr="000C7CFC" w:rsidRDefault="002A3160" w:rsidP="000054D2">
            <w:pPr>
              <w:spacing w:before="100" w:beforeAutospacing="1" w:afterAutospacing="1"/>
              <w:jc w:val="right"/>
              <w:rPr>
                <w:sz w:val="20"/>
                <w:szCs w:val="20"/>
              </w:rPr>
            </w:pPr>
            <w:r w:rsidRPr="000C7CFC">
              <w:rPr>
                <w:sz w:val="20"/>
                <w:szCs w:val="20"/>
              </w:rPr>
              <w:t>369</w:t>
            </w:r>
          </w:p>
        </w:tc>
        <w:tc>
          <w:tcPr>
            <w:tcW w:w="577" w:type="pct"/>
          </w:tcPr>
          <w:p w14:paraId="643F51A0" w14:textId="6FC9C181" w:rsidR="002A3160" w:rsidRPr="000C7CFC" w:rsidRDefault="002A3160" w:rsidP="000054D2">
            <w:pPr>
              <w:spacing w:before="100" w:beforeAutospacing="1" w:afterAutospacing="1"/>
              <w:jc w:val="right"/>
              <w:rPr>
                <w:sz w:val="20"/>
                <w:szCs w:val="20"/>
              </w:rPr>
            </w:pPr>
            <w:r w:rsidRPr="000C7CFC">
              <w:rPr>
                <w:sz w:val="20"/>
                <w:szCs w:val="20"/>
              </w:rPr>
              <w:t>535</w:t>
            </w:r>
          </w:p>
        </w:tc>
        <w:tc>
          <w:tcPr>
            <w:tcW w:w="577" w:type="pct"/>
          </w:tcPr>
          <w:p w14:paraId="6C2B4070" w14:textId="2A116029" w:rsidR="002A3160" w:rsidRPr="000C7CFC" w:rsidRDefault="002A3160" w:rsidP="000054D2">
            <w:pPr>
              <w:spacing w:before="100" w:beforeAutospacing="1" w:afterAutospacing="1"/>
              <w:jc w:val="right"/>
              <w:rPr>
                <w:sz w:val="20"/>
                <w:szCs w:val="20"/>
              </w:rPr>
            </w:pPr>
            <w:r w:rsidRPr="000C7CFC">
              <w:rPr>
                <w:sz w:val="20"/>
                <w:szCs w:val="20"/>
              </w:rPr>
              <w:t>701</w:t>
            </w:r>
          </w:p>
        </w:tc>
        <w:tc>
          <w:tcPr>
            <w:tcW w:w="577" w:type="pct"/>
          </w:tcPr>
          <w:p w14:paraId="5253F64F" w14:textId="77A2C6C1" w:rsidR="002A3160" w:rsidRPr="000C7CFC" w:rsidRDefault="002A3160" w:rsidP="000054D2">
            <w:pPr>
              <w:spacing w:before="100" w:beforeAutospacing="1" w:afterAutospacing="1"/>
              <w:jc w:val="right"/>
              <w:rPr>
                <w:sz w:val="20"/>
                <w:szCs w:val="20"/>
              </w:rPr>
            </w:pPr>
            <w:r w:rsidRPr="000C7CFC">
              <w:rPr>
                <w:sz w:val="20"/>
                <w:szCs w:val="20"/>
              </w:rPr>
              <w:t>710</w:t>
            </w:r>
          </w:p>
        </w:tc>
        <w:tc>
          <w:tcPr>
            <w:tcW w:w="508" w:type="pct"/>
          </w:tcPr>
          <w:p w14:paraId="7A1D04A5" w14:textId="3AAFCD5B" w:rsidR="002A3160" w:rsidRPr="000C7CFC" w:rsidRDefault="002A3160" w:rsidP="000054D2">
            <w:pPr>
              <w:spacing w:before="100" w:beforeAutospacing="1" w:afterAutospacing="1"/>
              <w:jc w:val="right"/>
              <w:rPr>
                <w:sz w:val="20"/>
                <w:szCs w:val="20"/>
              </w:rPr>
            </w:pPr>
            <w:r w:rsidRPr="000C7CFC">
              <w:rPr>
                <w:sz w:val="20"/>
                <w:szCs w:val="20"/>
              </w:rPr>
              <w:t>539</w:t>
            </w:r>
          </w:p>
        </w:tc>
      </w:tr>
      <w:tr w:rsidR="002A3160" w:rsidRPr="000C7CFC" w14:paraId="68D25C35" w14:textId="77777777" w:rsidTr="000054D2">
        <w:trPr>
          <w:trHeight w:val="20"/>
        </w:trPr>
        <w:tc>
          <w:tcPr>
            <w:tcW w:w="2115" w:type="pct"/>
          </w:tcPr>
          <w:p w14:paraId="59083FCE"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Interest Income</w:t>
            </w:r>
          </w:p>
        </w:tc>
        <w:tc>
          <w:tcPr>
            <w:tcW w:w="646" w:type="pct"/>
          </w:tcPr>
          <w:p w14:paraId="2C84B946" w14:textId="0565DDA0" w:rsidR="002A3160" w:rsidRPr="000C7CFC" w:rsidRDefault="002A3160" w:rsidP="000054D2">
            <w:pPr>
              <w:spacing w:before="100" w:beforeAutospacing="1" w:afterAutospacing="1"/>
              <w:jc w:val="right"/>
              <w:rPr>
                <w:sz w:val="20"/>
                <w:szCs w:val="20"/>
              </w:rPr>
            </w:pPr>
            <w:r w:rsidRPr="000C7CFC">
              <w:rPr>
                <w:sz w:val="20"/>
                <w:szCs w:val="20"/>
              </w:rPr>
              <w:t>110</w:t>
            </w:r>
          </w:p>
        </w:tc>
        <w:tc>
          <w:tcPr>
            <w:tcW w:w="577" w:type="pct"/>
          </w:tcPr>
          <w:p w14:paraId="7AC47A6F" w14:textId="2FF3F421" w:rsidR="002A3160" w:rsidRPr="000C7CFC" w:rsidRDefault="002A3160" w:rsidP="000054D2">
            <w:pPr>
              <w:spacing w:before="100" w:beforeAutospacing="1" w:afterAutospacing="1"/>
              <w:jc w:val="right"/>
              <w:rPr>
                <w:sz w:val="20"/>
                <w:szCs w:val="20"/>
              </w:rPr>
            </w:pPr>
            <w:r w:rsidRPr="000C7CFC">
              <w:rPr>
                <w:sz w:val="20"/>
                <w:szCs w:val="20"/>
              </w:rPr>
              <w:t>179</w:t>
            </w:r>
          </w:p>
        </w:tc>
        <w:tc>
          <w:tcPr>
            <w:tcW w:w="577" w:type="pct"/>
          </w:tcPr>
          <w:p w14:paraId="5E99E384" w14:textId="3CE967E3" w:rsidR="002A3160" w:rsidRPr="000C7CFC" w:rsidRDefault="002A3160" w:rsidP="000054D2">
            <w:pPr>
              <w:spacing w:before="100" w:beforeAutospacing="1" w:afterAutospacing="1"/>
              <w:jc w:val="right"/>
              <w:rPr>
                <w:sz w:val="20"/>
                <w:szCs w:val="20"/>
              </w:rPr>
            </w:pPr>
            <w:r w:rsidRPr="000C7CFC">
              <w:rPr>
                <w:sz w:val="20"/>
                <w:szCs w:val="20"/>
              </w:rPr>
              <w:t>232</w:t>
            </w:r>
          </w:p>
        </w:tc>
        <w:tc>
          <w:tcPr>
            <w:tcW w:w="577" w:type="pct"/>
          </w:tcPr>
          <w:p w14:paraId="50BA2E12" w14:textId="61433765" w:rsidR="002A3160" w:rsidRPr="000C7CFC" w:rsidRDefault="002A3160" w:rsidP="000054D2">
            <w:pPr>
              <w:spacing w:before="100" w:beforeAutospacing="1" w:afterAutospacing="1"/>
              <w:jc w:val="right"/>
              <w:rPr>
                <w:sz w:val="20"/>
                <w:szCs w:val="20"/>
              </w:rPr>
            </w:pPr>
            <w:r w:rsidRPr="000C7CFC">
              <w:rPr>
                <w:sz w:val="20"/>
                <w:szCs w:val="20"/>
              </w:rPr>
              <w:t>274</w:t>
            </w:r>
          </w:p>
        </w:tc>
        <w:tc>
          <w:tcPr>
            <w:tcW w:w="508" w:type="pct"/>
          </w:tcPr>
          <w:p w14:paraId="118650B1" w14:textId="6AB105EA" w:rsidR="002A3160" w:rsidRPr="000C7CFC" w:rsidRDefault="002A3160" w:rsidP="000054D2">
            <w:pPr>
              <w:spacing w:before="100" w:beforeAutospacing="1" w:afterAutospacing="1"/>
              <w:jc w:val="right"/>
              <w:rPr>
                <w:sz w:val="20"/>
                <w:szCs w:val="20"/>
              </w:rPr>
            </w:pPr>
            <w:r w:rsidRPr="000C7CFC">
              <w:rPr>
                <w:sz w:val="20"/>
                <w:szCs w:val="20"/>
              </w:rPr>
              <w:t>284</w:t>
            </w:r>
          </w:p>
        </w:tc>
      </w:tr>
      <w:tr w:rsidR="002A3160" w:rsidRPr="000C7CFC" w14:paraId="29CE1894" w14:textId="77777777" w:rsidTr="000054D2">
        <w:trPr>
          <w:trHeight w:val="20"/>
        </w:trPr>
        <w:tc>
          <w:tcPr>
            <w:tcW w:w="2115" w:type="pct"/>
          </w:tcPr>
          <w:p w14:paraId="69284926" w14:textId="77777777" w:rsidR="002A3160" w:rsidRPr="000C7CFC" w:rsidRDefault="002A3160" w:rsidP="000054D2">
            <w:pPr>
              <w:pStyle w:val="TableParagraph"/>
              <w:spacing w:before="100" w:beforeAutospacing="1" w:after="100" w:afterAutospacing="1"/>
              <w:ind w:left="329"/>
              <w:jc w:val="left"/>
              <w:rPr>
                <w:sz w:val="20"/>
                <w:szCs w:val="20"/>
              </w:rPr>
            </w:pPr>
            <w:r w:rsidRPr="000C7CFC">
              <w:rPr>
                <w:sz w:val="20"/>
                <w:szCs w:val="20"/>
              </w:rPr>
              <w:t>Intra City</w:t>
            </w:r>
          </w:p>
        </w:tc>
        <w:tc>
          <w:tcPr>
            <w:tcW w:w="646" w:type="pct"/>
            <w:tcBorders>
              <w:bottom w:val="single" w:sz="6" w:space="0" w:color="000000"/>
            </w:tcBorders>
          </w:tcPr>
          <w:p w14:paraId="498B2639" w14:textId="243CD540" w:rsidR="002A3160" w:rsidRPr="000C7CFC" w:rsidRDefault="002A3160" w:rsidP="000054D2">
            <w:pPr>
              <w:spacing w:before="100" w:beforeAutospacing="1" w:afterAutospacing="1"/>
              <w:jc w:val="right"/>
              <w:rPr>
                <w:sz w:val="20"/>
                <w:szCs w:val="20"/>
              </w:rPr>
            </w:pPr>
            <w:r w:rsidRPr="000C7CFC">
              <w:rPr>
                <w:sz w:val="20"/>
                <w:szCs w:val="20"/>
              </w:rPr>
              <w:t>2,132</w:t>
            </w:r>
          </w:p>
        </w:tc>
        <w:tc>
          <w:tcPr>
            <w:tcW w:w="577" w:type="pct"/>
            <w:tcBorders>
              <w:bottom w:val="single" w:sz="6" w:space="0" w:color="000000"/>
            </w:tcBorders>
          </w:tcPr>
          <w:p w14:paraId="7A46365D" w14:textId="4CCDB9A9" w:rsidR="002A3160" w:rsidRPr="000C7CFC" w:rsidRDefault="002A3160" w:rsidP="000054D2">
            <w:pPr>
              <w:spacing w:before="100" w:beforeAutospacing="1" w:afterAutospacing="1"/>
              <w:jc w:val="right"/>
              <w:rPr>
                <w:sz w:val="20"/>
                <w:szCs w:val="20"/>
              </w:rPr>
            </w:pPr>
            <w:r w:rsidRPr="000C7CFC">
              <w:rPr>
                <w:sz w:val="20"/>
                <w:szCs w:val="20"/>
              </w:rPr>
              <w:t>1,757</w:t>
            </w:r>
          </w:p>
        </w:tc>
        <w:tc>
          <w:tcPr>
            <w:tcW w:w="577" w:type="pct"/>
            <w:tcBorders>
              <w:bottom w:val="single" w:sz="6" w:space="0" w:color="000000"/>
            </w:tcBorders>
          </w:tcPr>
          <w:p w14:paraId="72A08FEF" w14:textId="0B587831" w:rsidR="002A3160" w:rsidRPr="000C7CFC" w:rsidRDefault="002A3160" w:rsidP="000054D2">
            <w:pPr>
              <w:spacing w:before="100" w:beforeAutospacing="1" w:afterAutospacing="1"/>
              <w:jc w:val="right"/>
              <w:rPr>
                <w:sz w:val="20"/>
                <w:szCs w:val="20"/>
              </w:rPr>
            </w:pPr>
            <w:r w:rsidRPr="000C7CFC">
              <w:rPr>
                <w:sz w:val="20"/>
                <w:szCs w:val="20"/>
              </w:rPr>
              <w:t>1,749</w:t>
            </w:r>
          </w:p>
        </w:tc>
        <w:tc>
          <w:tcPr>
            <w:tcW w:w="577" w:type="pct"/>
            <w:tcBorders>
              <w:bottom w:val="single" w:sz="6" w:space="0" w:color="000000"/>
            </w:tcBorders>
          </w:tcPr>
          <w:p w14:paraId="14BEB14C" w14:textId="5C07A393" w:rsidR="002A3160" w:rsidRPr="000C7CFC" w:rsidRDefault="002A3160" w:rsidP="000054D2">
            <w:pPr>
              <w:spacing w:before="100" w:beforeAutospacing="1" w:afterAutospacing="1"/>
              <w:jc w:val="right"/>
              <w:rPr>
                <w:sz w:val="20"/>
                <w:szCs w:val="20"/>
              </w:rPr>
            </w:pPr>
            <w:r w:rsidRPr="000C7CFC">
              <w:rPr>
                <w:sz w:val="20"/>
                <w:szCs w:val="20"/>
              </w:rPr>
              <w:t>1,754</w:t>
            </w:r>
          </w:p>
        </w:tc>
        <w:tc>
          <w:tcPr>
            <w:tcW w:w="508" w:type="pct"/>
            <w:tcBorders>
              <w:bottom w:val="single" w:sz="6" w:space="0" w:color="000000"/>
            </w:tcBorders>
          </w:tcPr>
          <w:p w14:paraId="72A4729E" w14:textId="2C1B2BF3" w:rsidR="002A3160" w:rsidRPr="000C7CFC" w:rsidRDefault="002A3160" w:rsidP="000054D2">
            <w:pPr>
              <w:spacing w:before="100" w:beforeAutospacing="1" w:afterAutospacing="1"/>
              <w:jc w:val="right"/>
              <w:rPr>
                <w:sz w:val="20"/>
                <w:szCs w:val="20"/>
              </w:rPr>
            </w:pPr>
            <w:r w:rsidRPr="000C7CFC">
              <w:rPr>
                <w:sz w:val="20"/>
                <w:szCs w:val="20"/>
              </w:rPr>
              <w:t>1,754</w:t>
            </w:r>
          </w:p>
        </w:tc>
      </w:tr>
      <w:tr w:rsidR="002A3160" w:rsidRPr="002A3160" w14:paraId="29A5A727" w14:textId="77777777" w:rsidTr="000054D2">
        <w:trPr>
          <w:trHeight w:val="20"/>
        </w:trPr>
        <w:tc>
          <w:tcPr>
            <w:tcW w:w="2115" w:type="pct"/>
          </w:tcPr>
          <w:p w14:paraId="62919EEF" w14:textId="77777777" w:rsidR="002A3160" w:rsidRPr="000C7CFC" w:rsidRDefault="002A3160" w:rsidP="000054D2">
            <w:pPr>
              <w:pStyle w:val="TableParagraph"/>
              <w:spacing w:before="100" w:beforeAutospacing="1" w:after="100" w:afterAutospacing="1"/>
              <w:ind w:left="44"/>
              <w:jc w:val="left"/>
              <w:rPr>
                <w:b/>
                <w:sz w:val="20"/>
                <w:szCs w:val="20"/>
              </w:rPr>
            </w:pPr>
            <w:r w:rsidRPr="000C7CFC">
              <w:rPr>
                <w:b/>
                <w:sz w:val="20"/>
                <w:szCs w:val="20"/>
              </w:rPr>
              <w:t>Total Miscellaneous</w:t>
            </w:r>
          </w:p>
        </w:tc>
        <w:tc>
          <w:tcPr>
            <w:tcW w:w="646" w:type="pct"/>
            <w:tcBorders>
              <w:top w:val="single" w:sz="6" w:space="0" w:color="000000"/>
            </w:tcBorders>
          </w:tcPr>
          <w:p w14:paraId="078B275F" w14:textId="381BFE76" w:rsidR="002A3160" w:rsidRPr="002A3160" w:rsidRDefault="001963A2" w:rsidP="000054D2">
            <w:pPr>
              <w:spacing w:before="100" w:beforeAutospacing="1" w:afterAutospacing="1"/>
              <w:jc w:val="right"/>
              <w:rPr>
                <w:b/>
                <w:sz w:val="20"/>
                <w:szCs w:val="20"/>
              </w:rPr>
            </w:pPr>
            <w:r>
              <w:rPr>
                <w:b/>
                <w:sz w:val="20"/>
                <w:szCs w:val="20"/>
              </w:rPr>
              <w:t>$</w:t>
            </w:r>
            <w:r w:rsidR="002A3160" w:rsidRPr="002A3160">
              <w:rPr>
                <w:b/>
                <w:sz w:val="20"/>
                <w:szCs w:val="20"/>
              </w:rPr>
              <w:t>6,995</w:t>
            </w:r>
          </w:p>
        </w:tc>
        <w:tc>
          <w:tcPr>
            <w:tcW w:w="577" w:type="pct"/>
            <w:tcBorders>
              <w:top w:val="single" w:sz="6" w:space="0" w:color="000000"/>
            </w:tcBorders>
          </w:tcPr>
          <w:p w14:paraId="00721440" w14:textId="2636D1DD" w:rsidR="002A3160" w:rsidRPr="002A3160" w:rsidRDefault="001963A2" w:rsidP="000054D2">
            <w:pPr>
              <w:spacing w:before="100" w:beforeAutospacing="1" w:afterAutospacing="1"/>
              <w:jc w:val="right"/>
              <w:rPr>
                <w:b/>
                <w:sz w:val="20"/>
                <w:szCs w:val="20"/>
              </w:rPr>
            </w:pPr>
            <w:r>
              <w:rPr>
                <w:b/>
                <w:sz w:val="20"/>
                <w:szCs w:val="20"/>
              </w:rPr>
              <w:t>$</w:t>
            </w:r>
            <w:r w:rsidR="002A3160" w:rsidRPr="002A3160">
              <w:rPr>
                <w:b/>
                <w:sz w:val="20"/>
                <w:szCs w:val="20"/>
              </w:rPr>
              <w:t>6,712</w:t>
            </w:r>
          </w:p>
        </w:tc>
        <w:tc>
          <w:tcPr>
            <w:tcW w:w="577" w:type="pct"/>
            <w:tcBorders>
              <w:top w:val="single" w:sz="6" w:space="0" w:color="000000"/>
            </w:tcBorders>
          </w:tcPr>
          <w:p w14:paraId="337F7939" w14:textId="3C6E6DD1" w:rsidR="002A3160" w:rsidRPr="002A3160" w:rsidRDefault="001963A2" w:rsidP="000054D2">
            <w:pPr>
              <w:spacing w:before="100" w:beforeAutospacing="1" w:afterAutospacing="1"/>
              <w:jc w:val="right"/>
              <w:rPr>
                <w:b/>
                <w:sz w:val="20"/>
                <w:szCs w:val="20"/>
              </w:rPr>
            </w:pPr>
            <w:r>
              <w:rPr>
                <w:b/>
                <w:sz w:val="20"/>
                <w:szCs w:val="20"/>
              </w:rPr>
              <w:t>$</w:t>
            </w:r>
            <w:r w:rsidR="002A3160" w:rsidRPr="002A3160">
              <w:rPr>
                <w:b/>
                <w:sz w:val="20"/>
                <w:szCs w:val="20"/>
              </w:rPr>
              <w:t>6,932</w:t>
            </w:r>
          </w:p>
        </w:tc>
        <w:tc>
          <w:tcPr>
            <w:tcW w:w="577" w:type="pct"/>
            <w:tcBorders>
              <w:top w:val="single" w:sz="6" w:space="0" w:color="000000"/>
            </w:tcBorders>
          </w:tcPr>
          <w:p w14:paraId="3C5A4C5C" w14:textId="237DAD15" w:rsidR="002A3160" w:rsidRPr="002A3160" w:rsidRDefault="001963A2" w:rsidP="000054D2">
            <w:pPr>
              <w:spacing w:before="100" w:beforeAutospacing="1" w:afterAutospacing="1"/>
              <w:jc w:val="right"/>
              <w:rPr>
                <w:b/>
                <w:sz w:val="20"/>
                <w:szCs w:val="20"/>
              </w:rPr>
            </w:pPr>
            <w:r>
              <w:rPr>
                <w:b/>
                <w:sz w:val="20"/>
                <w:szCs w:val="20"/>
              </w:rPr>
              <w:t>$</w:t>
            </w:r>
            <w:r w:rsidR="002A3160" w:rsidRPr="002A3160">
              <w:rPr>
                <w:b/>
                <w:sz w:val="20"/>
                <w:szCs w:val="20"/>
              </w:rPr>
              <w:t>6,964</w:t>
            </w:r>
          </w:p>
        </w:tc>
        <w:tc>
          <w:tcPr>
            <w:tcW w:w="508" w:type="pct"/>
            <w:tcBorders>
              <w:top w:val="single" w:sz="6" w:space="0" w:color="000000"/>
            </w:tcBorders>
          </w:tcPr>
          <w:p w14:paraId="6F3043CB" w14:textId="67E56ACC" w:rsidR="002A3160" w:rsidRPr="002A3160" w:rsidRDefault="001963A2" w:rsidP="000054D2">
            <w:pPr>
              <w:spacing w:before="100" w:beforeAutospacing="1" w:afterAutospacing="1"/>
              <w:jc w:val="right"/>
              <w:rPr>
                <w:b/>
                <w:sz w:val="20"/>
                <w:szCs w:val="20"/>
              </w:rPr>
            </w:pPr>
            <w:r>
              <w:rPr>
                <w:b/>
                <w:sz w:val="20"/>
                <w:szCs w:val="20"/>
              </w:rPr>
              <w:t>$</w:t>
            </w:r>
            <w:r w:rsidR="002A3160" w:rsidRPr="002A3160">
              <w:rPr>
                <w:b/>
                <w:sz w:val="20"/>
                <w:szCs w:val="20"/>
              </w:rPr>
              <w:t>6,793</w:t>
            </w:r>
          </w:p>
        </w:tc>
      </w:tr>
      <w:tr w:rsidR="002A3160" w:rsidRPr="000C7CFC" w14:paraId="087A8E06" w14:textId="77777777" w:rsidTr="000054D2">
        <w:trPr>
          <w:trHeight w:val="20"/>
        </w:trPr>
        <w:tc>
          <w:tcPr>
            <w:tcW w:w="2115" w:type="pct"/>
            <w:tcBorders>
              <w:bottom w:val="single" w:sz="6" w:space="0" w:color="000000"/>
            </w:tcBorders>
          </w:tcPr>
          <w:p w14:paraId="530A45EE" w14:textId="77777777" w:rsidR="002A3160" w:rsidRPr="000C7CFC" w:rsidRDefault="002A3160" w:rsidP="000054D2">
            <w:pPr>
              <w:pStyle w:val="TableParagraph"/>
              <w:spacing w:before="100" w:beforeAutospacing="1" w:after="100" w:afterAutospacing="1"/>
              <w:ind w:left="44"/>
              <w:jc w:val="left"/>
              <w:rPr>
                <w:b/>
                <w:sz w:val="20"/>
                <w:szCs w:val="20"/>
              </w:rPr>
            </w:pPr>
            <w:r w:rsidRPr="000C7CFC">
              <w:rPr>
                <w:b/>
                <w:sz w:val="20"/>
                <w:szCs w:val="20"/>
              </w:rPr>
              <w:t>Net Disallowances &amp; Transfers</w:t>
            </w:r>
          </w:p>
        </w:tc>
        <w:tc>
          <w:tcPr>
            <w:tcW w:w="646" w:type="pct"/>
            <w:tcBorders>
              <w:bottom w:val="single" w:sz="6" w:space="0" w:color="000000"/>
            </w:tcBorders>
          </w:tcPr>
          <w:p w14:paraId="4C298F3B" w14:textId="24316BD6" w:rsidR="002A3160" w:rsidRPr="000C7CFC" w:rsidRDefault="002A3160" w:rsidP="000054D2">
            <w:pPr>
              <w:spacing w:before="100" w:beforeAutospacing="1" w:afterAutospacing="1"/>
              <w:jc w:val="right"/>
              <w:rPr>
                <w:sz w:val="20"/>
                <w:szCs w:val="20"/>
              </w:rPr>
            </w:pPr>
            <w:r w:rsidRPr="000C7CFC">
              <w:rPr>
                <w:sz w:val="20"/>
                <w:szCs w:val="20"/>
              </w:rPr>
              <w:t>(2,047)</w:t>
            </w:r>
          </w:p>
        </w:tc>
        <w:tc>
          <w:tcPr>
            <w:tcW w:w="577" w:type="pct"/>
            <w:tcBorders>
              <w:bottom w:val="single" w:sz="6" w:space="0" w:color="000000"/>
            </w:tcBorders>
          </w:tcPr>
          <w:p w14:paraId="7168A71E" w14:textId="5E84C5EF" w:rsidR="002A3160" w:rsidRPr="000C7CFC" w:rsidRDefault="002A3160" w:rsidP="000054D2">
            <w:pPr>
              <w:spacing w:before="100" w:beforeAutospacing="1" w:afterAutospacing="1"/>
              <w:jc w:val="right"/>
              <w:rPr>
                <w:sz w:val="20"/>
                <w:szCs w:val="20"/>
              </w:rPr>
            </w:pPr>
            <w:r w:rsidRPr="000C7CFC">
              <w:rPr>
                <w:sz w:val="20"/>
                <w:szCs w:val="20"/>
              </w:rPr>
              <w:t>(1,772)</w:t>
            </w:r>
          </w:p>
        </w:tc>
        <w:tc>
          <w:tcPr>
            <w:tcW w:w="577" w:type="pct"/>
            <w:tcBorders>
              <w:bottom w:val="single" w:sz="6" w:space="0" w:color="000000"/>
            </w:tcBorders>
          </w:tcPr>
          <w:p w14:paraId="56E01E30" w14:textId="6BD99943" w:rsidR="002A3160" w:rsidRPr="000C7CFC" w:rsidRDefault="002A3160" w:rsidP="000054D2">
            <w:pPr>
              <w:spacing w:before="100" w:beforeAutospacing="1" w:afterAutospacing="1"/>
              <w:jc w:val="right"/>
              <w:rPr>
                <w:sz w:val="20"/>
                <w:szCs w:val="20"/>
              </w:rPr>
            </w:pPr>
            <w:r w:rsidRPr="000C7CFC">
              <w:rPr>
                <w:sz w:val="20"/>
                <w:szCs w:val="20"/>
              </w:rPr>
              <w:t>(1,764)</w:t>
            </w:r>
          </w:p>
        </w:tc>
        <w:tc>
          <w:tcPr>
            <w:tcW w:w="577" w:type="pct"/>
            <w:tcBorders>
              <w:bottom w:val="single" w:sz="6" w:space="0" w:color="000000"/>
            </w:tcBorders>
          </w:tcPr>
          <w:p w14:paraId="6EF2EDAD" w14:textId="58EA07E5" w:rsidR="002A3160" w:rsidRPr="000C7CFC" w:rsidRDefault="002A3160" w:rsidP="000054D2">
            <w:pPr>
              <w:spacing w:before="100" w:beforeAutospacing="1" w:afterAutospacing="1"/>
              <w:jc w:val="right"/>
              <w:rPr>
                <w:sz w:val="20"/>
                <w:szCs w:val="20"/>
              </w:rPr>
            </w:pPr>
            <w:r w:rsidRPr="000C7CFC">
              <w:rPr>
                <w:sz w:val="20"/>
                <w:szCs w:val="20"/>
              </w:rPr>
              <w:t>(1,769)</w:t>
            </w:r>
          </w:p>
        </w:tc>
        <w:tc>
          <w:tcPr>
            <w:tcW w:w="508" w:type="pct"/>
            <w:tcBorders>
              <w:bottom w:val="single" w:sz="6" w:space="0" w:color="000000"/>
            </w:tcBorders>
          </w:tcPr>
          <w:p w14:paraId="789508AB" w14:textId="4C773754" w:rsidR="002A3160" w:rsidRPr="000C7CFC" w:rsidRDefault="002A3160" w:rsidP="000054D2">
            <w:pPr>
              <w:spacing w:before="100" w:beforeAutospacing="1" w:afterAutospacing="1"/>
              <w:jc w:val="right"/>
              <w:rPr>
                <w:sz w:val="20"/>
                <w:szCs w:val="20"/>
              </w:rPr>
            </w:pPr>
            <w:r w:rsidRPr="000C7CFC">
              <w:rPr>
                <w:sz w:val="20"/>
                <w:szCs w:val="20"/>
              </w:rPr>
              <w:t>(1,769)</w:t>
            </w:r>
          </w:p>
        </w:tc>
      </w:tr>
      <w:tr w:rsidR="002A3160" w:rsidRPr="000C7CFC" w14:paraId="144B0FAD" w14:textId="77777777" w:rsidTr="000054D2">
        <w:trPr>
          <w:trHeight w:val="20"/>
        </w:trPr>
        <w:tc>
          <w:tcPr>
            <w:tcW w:w="2115" w:type="pct"/>
            <w:tcBorders>
              <w:top w:val="single" w:sz="6" w:space="0" w:color="000000"/>
              <w:bottom w:val="single" w:sz="6" w:space="0" w:color="000000"/>
            </w:tcBorders>
          </w:tcPr>
          <w:p w14:paraId="60A72012" w14:textId="77777777" w:rsidR="002A3160" w:rsidRPr="000C7CFC" w:rsidRDefault="002A3160" w:rsidP="000054D2">
            <w:pPr>
              <w:pStyle w:val="TableParagraph"/>
              <w:spacing w:before="100" w:beforeAutospacing="1" w:after="100" w:afterAutospacing="1"/>
              <w:ind w:left="44"/>
              <w:jc w:val="left"/>
              <w:rPr>
                <w:b/>
                <w:sz w:val="20"/>
                <w:szCs w:val="20"/>
              </w:rPr>
            </w:pPr>
            <w:r w:rsidRPr="000C7CFC">
              <w:rPr>
                <w:b/>
                <w:sz w:val="20"/>
                <w:szCs w:val="20"/>
              </w:rPr>
              <w:t>Total Revenue</w:t>
            </w:r>
          </w:p>
        </w:tc>
        <w:tc>
          <w:tcPr>
            <w:tcW w:w="646" w:type="pct"/>
            <w:tcBorders>
              <w:top w:val="single" w:sz="6" w:space="0" w:color="000000"/>
              <w:bottom w:val="single" w:sz="6" w:space="0" w:color="000000"/>
            </w:tcBorders>
          </w:tcPr>
          <w:p w14:paraId="06862C9B" w14:textId="57336184" w:rsidR="002A3160" w:rsidRPr="002A3160" w:rsidRDefault="002A3160" w:rsidP="000054D2">
            <w:pPr>
              <w:spacing w:before="100" w:beforeAutospacing="1" w:afterAutospacing="1"/>
              <w:jc w:val="right"/>
              <w:rPr>
                <w:b/>
                <w:sz w:val="20"/>
                <w:szCs w:val="20"/>
              </w:rPr>
            </w:pPr>
            <w:r w:rsidRPr="002A3160">
              <w:rPr>
                <w:b/>
                <w:sz w:val="20"/>
                <w:szCs w:val="20"/>
              </w:rPr>
              <w:t>$87,440</w:t>
            </w:r>
          </w:p>
        </w:tc>
        <w:tc>
          <w:tcPr>
            <w:tcW w:w="577" w:type="pct"/>
            <w:tcBorders>
              <w:top w:val="single" w:sz="6" w:space="0" w:color="000000"/>
              <w:bottom w:val="single" w:sz="6" w:space="0" w:color="000000"/>
            </w:tcBorders>
          </w:tcPr>
          <w:p w14:paraId="6469F685" w14:textId="6930E36F" w:rsidR="002A3160" w:rsidRPr="002A3160" w:rsidRDefault="002A3160" w:rsidP="000054D2">
            <w:pPr>
              <w:spacing w:before="100" w:beforeAutospacing="1" w:afterAutospacing="1"/>
              <w:jc w:val="right"/>
              <w:rPr>
                <w:b/>
                <w:sz w:val="20"/>
                <w:szCs w:val="20"/>
              </w:rPr>
            </w:pPr>
            <w:r w:rsidRPr="002A3160">
              <w:rPr>
                <w:b/>
                <w:sz w:val="20"/>
                <w:szCs w:val="20"/>
              </w:rPr>
              <w:t>$88,666</w:t>
            </w:r>
          </w:p>
        </w:tc>
        <w:tc>
          <w:tcPr>
            <w:tcW w:w="577" w:type="pct"/>
            <w:tcBorders>
              <w:top w:val="single" w:sz="6" w:space="0" w:color="000000"/>
              <w:bottom w:val="single" w:sz="6" w:space="0" w:color="000000"/>
            </w:tcBorders>
          </w:tcPr>
          <w:p w14:paraId="50233FB5" w14:textId="13921B67" w:rsidR="002A3160" w:rsidRPr="002A3160" w:rsidRDefault="002A3160" w:rsidP="000054D2">
            <w:pPr>
              <w:spacing w:before="100" w:beforeAutospacing="1" w:afterAutospacing="1"/>
              <w:jc w:val="right"/>
              <w:rPr>
                <w:b/>
                <w:sz w:val="20"/>
                <w:szCs w:val="20"/>
              </w:rPr>
            </w:pPr>
            <w:r w:rsidRPr="002A3160">
              <w:rPr>
                <w:b/>
                <w:sz w:val="20"/>
                <w:szCs w:val="20"/>
              </w:rPr>
              <w:t>$91,293</w:t>
            </w:r>
          </w:p>
        </w:tc>
        <w:tc>
          <w:tcPr>
            <w:tcW w:w="577" w:type="pct"/>
            <w:tcBorders>
              <w:top w:val="single" w:sz="6" w:space="0" w:color="000000"/>
              <w:bottom w:val="single" w:sz="6" w:space="0" w:color="000000"/>
            </w:tcBorders>
          </w:tcPr>
          <w:p w14:paraId="734FD21A" w14:textId="6731FE7B" w:rsidR="002A3160" w:rsidRPr="002A3160" w:rsidRDefault="002A3160" w:rsidP="000054D2">
            <w:pPr>
              <w:spacing w:before="100" w:beforeAutospacing="1" w:afterAutospacing="1"/>
              <w:jc w:val="right"/>
              <w:rPr>
                <w:b/>
                <w:sz w:val="20"/>
                <w:szCs w:val="20"/>
              </w:rPr>
            </w:pPr>
            <w:r w:rsidRPr="002A3160">
              <w:rPr>
                <w:b/>
                <w:sz w:val="20"/>
                <w:szCs w:val="20"/>
              </w:rPr>
              <w:t>$94,030</w:t>
            </w:r>
          </w:p>
        </w:tc>
        <w:tc>
          <w:tcPr>
            <w:tcW w:w="508" w:type="pct"/>
            <w:tcBorders>
              <w:top w:val="single" w:sz="6" w:space="0" w:color="000000"/>
              <w:bottom w:val="single" w:sz="6" w:space="0" w:color="000000"/>
            </w:tcBorders>
          </w:tcPr>
          <w:p w14:paraId="583C16FF" w14:textId="03FC9A24" w:rsidR="002A3160" w:rsidRPr="002A3160" w:rsidRDefault="002A3160" w:rsidP="000054D2">
            <w:pPr>
              <w:spacing w:before="100" w:beforeAutospacing="1" w:afterAutospacing="1"/>
              <w:jc w:val="right"/>
              <w:rPr>
                <w:b/>
                <w:sz w:val="20"/>
                <w:szCs w:val="20"/>
              </w:rPr>
            </w:pPr>
            <w:r w:rsidRPr="002A3160">
              <w:rPr>
                <w:b/>
                <w:sz w:val="20"/>
                <w:szCs w:val="20"/>
              </w:rPr>
              <w:t>$95,297</w:t>
            </w:r>
          </w:p>
        </w:tc>
      </w:tr>
      <w:tr w:rsidR="00672CF3" w:rsidRPr="000C7CFC" w14:paraId="258AD22F" w14:textId="77777777" w:rsidTr="000054D2">
        <w:trPr>
          <w:trHeight w:val="20"/>
        </w:trPr>
        <w:tc>
          <w:tcPr>
            <w:tcW w:w="2115" w:type="pct"/>
            <w:tcBorders>
              <w:top w:val="single" w:sz="6" w:space="0" w:color="000000"/>
            </w:tcBorders>
          </w:tcPr>
          <w:p w14:paraId="1EA52DED" w14:textId="77777777" w:rsidR="00672CF3" w:rsidRPr="000C7CFC" w:rsidRDefault="00672CF3" w:rsidP="000054D2">
            <w:pPr>
              <w:pStyle w:val="TableParagraph"/>
              <w:spacing w:before="100" w:beforeAutospacing="1" w:after="100" w:afterAutospacing="1"/>
              <w:ind w:left="44"/>
              <w:jc w:val="left"/>
              <w:rPr>
                <w:b/>
                <w:sz w:val="20"/>
                <w:szCs w:val="20"/>
              </w:rPr>
            </w:pPr>
            <w:r w:rsidRPr="000C7CFC">
              <w:rPr>
                <w:b/>
                <w:sz w:val="20"/>
                <w:szCs w:val="20"/>
              </w:rPr>
              <w:t>City Funds</w:t>
            </w:r>
          </w:p>
        </w:tc>
        <w:tc>
          <w:tcPr>
            <w:tcW w:w="646" w:type="pct"/>
            <w:tcBorders>
              <w:top w:val="single" w:sz="6" w:space="0" w:color="000000"/>
            </w:tcBorders>
          </w:tcPr>
          <w:p w14:paraId="41DF9AEA" w14:textId="4021DBF9" w:rsidR="00672CF3" w:rsidRPr="00672CF3" w:rsidRDefault="00672CF3" w:rsidP="000054D2">
            <w:pPr>
              <w:spacing w:before="100" w:beforeAutospacing="1" w:afterAutospacing="1"/>
              <w:jc w:val="right"/>
              <w:rPr>
                <w:b/>
                <w:sz w:val="20"/>
                <w:szCs w:val="20"/>
              </w:rPr>
            </w:pPr>
            <w:r w:rsidRPr="00672CF3">
              <w:rPr>
                <w:b/>
                <w:sz w:val="20"/>
                <w:szCs w:val="20"/>
              </w:rPr>
              <w:t>$62,242</w:t>
            </w:r>
          </w:p>
        </w:tc>
        <w:tc>
          <w:tcPr>
            <w:tcW w:w="577" w:type="pct"/>
            <w:tcBorders>
              <w:top w:val="single" w:sz="6" w:space="0" w:color="000000"/>
            </w:tcBorders>
          </w:tcPr>
          <w:p w14:paraId="3A46D73A" w14:textId="297BB0B1" w:rsidR="00672CF3" w:rsidRPr="00672CF3" w:rsidRDefault="00672CF3" w:rsidP="000054D2">
            <w:pPr>
              <w:spacing w:before="100" w:beforeAutospacing="1" w:afterAutospacing="1"/>
              <w:jc w:val="right"/>
              <w:rPr>
                <w:b/>
                <w:sz w:val="20"/>
                <w:szCs w:val="20"/>
              </w:rPr>
            </w:pPr>
            <w:r w:rsidRPr="00672CF3">
              <w:rPr>
                <w:b/>
                <w:sz w:val="20"/>
                <w:szCs w:val="20"/>
              </w:rPr>
              <w:t>$64,939</w:t>
            </w:r>
          </w:p>
        </w:tc>
        <w:tc>
          <w:tcPr>
            <w:tcW w:w="577" w:type="pct"/>
            <w:tcBorders>
              <w:top w:val="single" w:sz="6" w:space="0" w:color="000000"/>
            </w:tcBorders>
          </w:tcPr>
          <w:p w14:paraId="4ABBAC34" w14:textId="03120DBD" w:rsidR="00672CF3" w:rsidRPr="00672CF3" w:rsidRDefault="00672CF3" w:rsidP="000054D2">
            <w:pPr>
              <w:spacing w:before="100" w:beforeAutospacing="1" w:afterAutospacing="1"/>
              <w:jc w:val="right"/>
              <w:rPr>
                <w:b/>
                <w:sz w:val="20"/>
                <w:szCs w:val="20"/>
              </w:rPr>
            </w:pPr>
            <w:r w:rsidRPr="00672CF3">
              <w:rPr>
                <w:b/>
                <w:sz w:val="20"/>
                <w:szCs w:val="20"/>
              </w:rPr>
              <w:t>$67,391</w:t>
            </w:r>
          </w:p>
        </w:tc>
        <w:tc>
          <w:tcPr>
            <w:tcW w:w="577" w:type="pct"/>
            <w:tcBorders>
              <w:top w:val="single" w:sz="6" w:space="0" w:color="000000"/>
            </w:tcBorders>
          </w:tcPr>
          <w:p w14:paraId="1CCA2275" w14:textId="7E6C015A" w:rsidR="00672CF3" w:rsidRPr="00672CF3" w:rsidRDefault="00672CF3" w:rsidP="000054D2">
            <w:pPr>
              <w:spacing w:before="100" w:beforeAutospacing="1" w:afterAutospacing="1"/>
              <w:jc w:val="right"/>
              <w:rPr>
                <w:b/>
                <w:sz w:val="20"/>
                <w:szCs w:val="20"/>
              </w:rPr>
            </w:pPr>
            <w:r w:rsidRPr="00672CF3">
              <w:rPr>
                <w:b/>
                <w:sz w:val="20"/>
                <w:szCs w:val="20"/>
              </w:rPr>
              <w:t>$69,777</w:t>
            </w:r>
          </w:p>
        </w:tc>
        <w:tc>
          <w:tcPr>
            <w:tcW w:w="508" w:type="pct"/>
            <w:tcBorders>
              <w:top w:val="single" w:sz="6" w:space="0" w:color="000000"/>
            </w:tcBorders>
          </w:tcPr>
          <w:p w14:paraId="119894A2" w14:textId="21D6F1AF" w:rsidR="00672CF3" w:rsidRPr="00672CF3" w:rsidRDefault="00672CF3" w:rsidP="000054D2">
            <w:pPr>
              <w:spacing w:before="100" w:beforeAutospacing="1" w:afterAutospacing="1"/>
              <w:jc w:val="right"/>
              <w:rPr>
                <w:b/>
                <w:sz w:val="20"/>
                <w:szCs w:val="20"/>
              </w:rPr>
            </w:pPr>
            <w:r w:rsidRPr="00672CF3">
              <w:rPr>
                <w:b/>
                <w:sz w:val="20"/>
                <w:szCs w:val="20"/>
              </w:rPr>
              <w:t>$70,647</w:t>
            </w:r>
          </w:p>
        </w:tc>
      </w:tr>
      <w:tr w:rsidR="00672CF3" w:rsidRPr="000C7CFC" w14:paraId="1047B6EC" w14:textId="77777777" w:rsidTr="000054D2">
        <w:trPr>
          <w:trHeight w:val="20"/>
        </w:trPr>
        <w:tc>
          <w:tcPr>
            <w:tcW w:w="2115" w:type="pct"/>
          </w:tcPr>
          <w:p w14:paraId="59AE2BEA" w14:textId="77777777" w:rsidR="00672CF3" w:rsidRPr="000C7CFC" w:rsidRDefault="00672CF3" w:rsidP="000054D2">
            <w:pPr>
              <w:pStyle w:val="TableParagraph"/>
              <w:spacing w:before="100" w:beforeAutospacing="1" w:after="100" w:afterAutospacing="1"/>
              <w:ind w:left="44"/>
              <w:jc w:val="left"/>
              <w:rPr>
                <w:b/>
                <w:sz w:val="20"/>
                <w:szCs w:val="20"/>
              </w:rPr>
            </w:pPr>
            <w:r w:rsidRPr="000C7CFC">
              <w:rPr>
                <w:b/>
                <w:sz w:val="20"/>
                <w:szCs w:val="20"/>
              </w:rPr>
              <w:t>Federal &amp; State  Revenue</w:t>
            </w:r>
          </w:p>
        </w:tc>
        <w:tc>
          <w:tcPr>
            <w:tcW w:w="646" w:type="pct"/>
          </w:tcPr>
          <w:p w14:paraId="09D79DDB" w14:textId="535590C3" w:rsidR="00672CF3" w:rsidRPr="00672CF3" w:rsidRDefault="00672CF3" w:rsidP="000054D2">
            <w:pPr>
              <w:spacing w:before="100" w:beforeAutospacing="1" w:afterAutospacing="1"/>
              <w:jc w:val="right"/>
              <w:rPr>
                <w:b/>
                <w:sz w:val="20"/>
                <w:szCs w:val="20"/>
              </w:rPr>
            </w:pPr>
            <w:r w:rsidRPr="00672CF3">
              <w:rPr>
                <w:b/>
                <w:sz w:val="20"/>
                <w:szCs w:val="20"/>
              </w:rPr>
              <w:t>$23,426</w:t>
            </w:r>
          </w:p>
        </w:tc>
        <w:tc>
          <w:tcPr>
            <w:tcW w:w="577" w:type="pct"/>
          </w:tcPr>
          <w:p w14:paraId="2FCF98FA" w14:textId="4009F0DC" w:rsidR="00672CF3" w:rsidRPr="00672CF3" w:rsidRDefault="00672CF3" w:rsidP="000054D2">
            <w:pPr>
              <w:spacing w:before="100" w:beforeAutospacing="1" w:afterAutospacing="1"/>
              <w:jc w:val="right"/>
              <w:rPr>
                <w:b/>
                <w:sz w:val="20"/>
                <w:szCs w:val="20"/>
              </w:rPr>
            </w:pPr>
            <w:r w:rsidRPr="00672CF3">
              <w:rPr>
                <w:b/>
                <w:sz w:val="20"/>
                <w:szCs w:val="20"/>
              </w:rPr>
              <w:t>$22,187</w:t>
            </w:r>
          </w:p>
        </w:tc>
        <w:tc>
          <w:tcPr>
            <w:tcW w:w="577" w:type="pct"/>
          </w:tcPr>
          <w:p w14:paraId="4A2C6E0F" w14:textId="755C8CD0" w:rsidR="00672CF3" w:rsidRPr="00672CF3" w:rsidRDefault="00672CF3" w:rsidP="000054D2">
            <w:pPr>
              <w:spacing w:before="100" w:beforeAutospacing="1" w:afterAutospacing="1"/>
              <w:jc w:val="right"/>
              <w:rPr>
                <w:b/>
                <w:sz w:val="20"/>
                <w:szCs w:val="20"/>
              </w:rPr>
            </w:pPr>
            <w:r w:rsidRPr="00672CF3">
              <w:rPr>
                <w:b/>
                <w:sz w:val="20"/>
                <w:szCs w:val="20"/>
              </w:rPr>
              <w:t>$22,436</w:t>
            </w:r>
          </w:p>
        </w:tc>
        <w:tc>
          <w:tcPr>
            <w:tcW w:w="577" w:type="pct"/>
          </w:tcPr>
          <w:p w14:paraId="25871AFB" w14:textId="721FC418" w:rsidR="00672CF3" w:rsidRPr="00672CF3" w:rsidRDefault="00672CF3" w:rsidP="000054D2">
            <w:pPr>
              <w:spacing w:before="100" w:beforeAutospacing="1" w:afterAutospacing="1"/>
              <w:jc w:val="right"/>
              <w:rPr>
                <w:b/>
                <w:sz w:val="20"/>
                <w:szCs w:val="20"/>
              </w:rPr>
            </w:pPr>
            <w:r w:rsidRPr="00672CF3">
              <w:rPr>
                <w:b/>
                <w:sz w:val="20"/>
                <w:szCs w:val="20"/>
              </w:rPr>
              <w:t>$22,793</w:t>
            </w:r>
          </w:p>
        </w:tc>
        <w:tc>
          <w:tcPr>
            <w:tcW w:w="508" w:type="pct"/>
          </w:tcPr>
          <w:p w14:paraId="4B22C761" w14:textId="2DF6F351" w:rsidR="00672CF3" w:rsidRPr="00672CF3" w:rsidRDefault="00672CF3" w:rsidP="000054D2">
            <w:pPr>
              <w:spacing w:before="100" w:beforeAutospacing="1" w:afterAutospacing="1"/>
              <w:jc w:val="right"/>
              <w:rPr>
                <w:b/>
                <w:sz w:val="20"/>
                <w:szCs w:val="20"/>
              </w:rPr>
            </w:pPr>
            <w:r w:rsidRPr="00672CF3">
              <w:rPr>
                <w:b/>
                <w:sz w:val="20"/>
                <w:szCs w:val="20"/>
              </w:rPr>
              <w:t>$23,190</w:t>
            </w:r>
          </w:p>
        </w:tc>
      </w:tr>
      <w:tr w:rsidR="00672CF3" w:rsidRPr="000C7CFC" w14:paraId="25C355F9" w14:textId="77777777" w:rsidTr="000054D2">
        <w:trPr>
          <w:trHeight w:val="20"/>
        </w:trPr>
        <w:tc>
          <w:tcPr>
            <w:tcW w:w="2115" w:type="pct"/>
          </w:tcPr>
          <w:p w14:paraId="2A4137AE" w14:textId="77777777" w:rsidR="00672CF3" w:rsidRPr="000C7CFC" w:rsidRDefault="00672CF3" w:rsidP="000054D2">
            <w:pPr>
              <w:pStyle w:val="TableParagraph"/>
              <w:spacing w:before="100" w:beforeAutospacing="1" w:after="100" w:afterAutospacing="1"/>
              <w:ind w:left="44"/>
              <w:jc w:val="left"/>
              <w:rPr>
                <w:b/>
                <w:sz w:val="20"/>
                <w:szCs w:val="20"/>
              </w:rPr>
            </w:pPr>
            <w:r w:rsidRPr="000C7CFC">
              <w:rPr>
                <w:b/>
                <w:sz w:val="20"/>
                <w:szCs w:val="20"/>
              </w:rPr>
              <w:t>Federal &amp; State  as a Percent  of Total</w:t>
            </w:r>
          </w:p>
        </w:tc>
        <w:tc>
          <w:tcPr>
            <w:tcW w:w="646" w:type="pct"/>
          </w:tcPr>
          <w:p w14:paraId="2301CDAD" w14:textId="59BD87A6" w:rsidR="00672CF3" w:rsidRPr="00672CF3" w:rsidRDefault="00672CF3" w:rsidP="000054D2">
            <w:pPr>
              <w:spacing w:before="100" w:beforeAutospacing="1" w:afterAutospacing="1"/>
              <w:jc w:val="right"/>
              <w:rPr>
                <w:b/>
                <w:sz w:val="20"/>
                <w:szCs w:val="20"/>
              </w:rPr>
            </w:pPr>
            <w:r w:rsidRPr="00672CF3">
              <w:rPr>
                <w:b/>
                <w:sz w:val="20"/>
                <w:szCs w:val="20"/>
              </w:rPr>
              <w:t>26.79%</w:t>
            </w:r>
          </w:p>
        </w:tc>
        <w:tc>
          <w:tcPr>
            <w:tcW w:w="577" w:type="pct"/>
          </w:tcPr>
          <w:p w14:paraId="173C39EC" w14:textId="2C64338C" w:rsidR="00672CF3" w:rsidRPr="00672CF3" w:rsidRDefault="00672CF3" w:rsidP="000054D2">
            <w:pPr>
              <w:spacing w:before="100" w:beforeAutospacing="1" w:afterAutospacing="1"/>
              <w:jc w:val="right"/>
              <w:rPr>
                <w:b/>
                <w:sz w:val="20"/>
                <w:szCs w:val="20"/>
              </w:rPr>
            </w:pPr>
            <w:r w:rsidRPr="00672CF3">
              <w:rPr>
                <w:b/>
                <w:sz w:val="20"/>
                <w:szCs w:val="20"/>
              </w:rPr>
              <w:t>25.02%</w:t>
            </w:r>
          </w:p>
        </w:tc>
        <w:tc>
          <w:tcPr>
            <w:tcW w:w="577" w:type="pct"/>
          </w:tcPr>
          <w:p w14:paraId="7C86BE90" w14:textId="5A5CD4CE" w:rsidR="00672CF3" w:rsidRPr="00672CF3" w:rsidRDefault="00672CF3" w:rsidP="000054D2">
            <w:pPr>
              <w:spacing w:before="100" w:beforeAutospacing="1" w:afterAutospacing="1"/>
              <w:jc w:val="right"/>
              <w:rPr>
                <w:b/>
                <w:sz w:val="20"/>
                <w:szCs w:val="20"/>
              </w:rPr>
            </w:pPr>
            <w:r w:rsidRPr="00672CF3">
              <w:rPr>
                <w:b/>
                <w:sz w:val="20"/>
                <w:szCs w:val="20"/>
              </w:rPr>
              <w:t>24.58%</w:t>
            </w:r>
          </w:p>
        </w:tc>
        <w:tc>
          <w:tcPr>
            <w:tcW w:w="577" w:type="pct"/>
          </w:tcPr>
          <w:p w14:paraId="5849A47B" w14:textId="218DAA31" w:rsidR="00672CF3" w:rsidRPr="00672CF3" w:rsidRDefault="00672CF3" w:rsidP="000054D2">
            <w:pPr>
              <w:spacing w:before="100" w:beforeAutospacing="1" w:afterAutospacing="1"/>
              <w:jc w:val="right"/>
              <w:rPr>
                <w:b/>
                <w:sz w:val="20"/>
                <w:szCs w:val="20"/>
              </w:rPr>
            </w:pPr>
            <w:r w:rsidRPr="00672CF3">
              <w:rPr>
                <w:b/>
                <w:sz w:val="20"/>
                <w:szCs w:val="20"/>
              </w:rPr>
              <w:t>24.24%</w:t>
            </w:r>
          </w:p>
        </w:tc>
        <w:tc>
          <w:tcPr>
            <w:tcW w:w="508" w:type="pct"/>
          </w:tcPr>
          <w:p w14:paraId="1C37DA6D" w14:textId="308165AC" w:rsidR="00672CF3" w:rsidRPr="00672CF3" w:rsidRDefault="00672CF3" w:rsidP="000054D2">
            <w:pPr>
              <w:spacing w:before="100" w:beforeAutospacing="1" w:afterAutospacing="1"/>
              <w:jc w:val="right"/>
              <w:rPr>
                <w:b/>
                <w:sz w:val="20"/>
                <w:szCs w:val="20"/>
              </w:rPr>
            </w:pPr>
            <w:r w:rsidRPr="00672CF3">
              <w:rPr>
                <w:b/>
                <w:sz w:val="20"/>
                <w:szCs w:val="20"/>
              </w:rPr>
              <w:t>24.33%</w:t>
            </w:r>
          </w:p>
        </w:tc>
      </w:tr>
      <w:tr w:rsidR="00672CF3" w:rsidRPr="000C7CFC" w14:paraId="09AA6DDD" w14:textId="77777777" w:rsidTr="000054D2">
        <w:trPr>
          <w:trHeight w:val="20"/>
        </w:trPr>
        <w:tc>
          <w:tcPr>
            <w:tcW w:w="2115" w:type="pct"/>
            <w:tcBorders>
              <w:bottom w:val="single" w:sz="4" w:space="0" w:color="auto"/>
            </w:tcBorders>
          </w:tcPr>
          <w:p w14:paraId="51C60B25" w14:textId="77777777" w:rsidR="00672CF3" w:rsidRPr="000C7CFC" w:rsidRDefault="00672CF3" w:rsidP="000054D2">
            <w:pPr>
              <w:pStyle w:val="TableParagraph"/>
              <w:spacing w:before="100" w:beforeAutospacing="1" w:after="100" w:afterAutospacing="1"/>
              <w:ind w:left="44"/>
              <w:jc w:val="left"/>
              <w:rPr>
                <w:b/>
                <w:sz w:val="20"/>
                <w:szCs w:val="20"/>
              </w:rPr>
            </w:pPr>
            <w:r w:rsidRPr="000C7CFC">
              <w:rPr>
                <w:b/>
                <w:sz w:val="20"/>
                <w:szCs w:val="20"/>
              </w:rPr>
              <w:t>City Funds as a Percent  of Total  Revenue</w:t>
            </w:r>
          </w:p>
        </w:tc>
        <w:tc>
          <w:tcPr>
            <w:tcW w:w="646" w:type="pct"/>
            <w:tcBorders>
              <w:bottom w:val="single" w:sz="4" w:space="0" w:color="auto"/>
            </w:tcBorders>
          </w:tcPr>
          <w:p w14:paraId="35A6748A" w14:textId="2A3903C7" w:rsidR="00672CF3" w:rsidRPr="00672CF3" w:rsidRDefault="00672CF3" w:rsidP="000054D2">
            <w:pPr>
              <w:spacing w:before="100" w:beforeAutospacing="1" w:afterAutospacing="1"/>
              <w:jc w:val="right"/>
              <w:rPr>
                <w:b/>
                <w:sz w:val="20"/>
                <w:szCs w:val="20"/>
              </w:rPr>
            </w:pPr>
            <w:r w:rsidRPr="00672CF3">
              <w:rPr>
                <w:b/>
                <w:sz w:val="20"/>
                <w:szCs w:val="20"/>
              </w:rPr>
              <w:t>71.18%</w:t>
            </w:r>
          </w:p>
        </w:tc>
        <w:tc>
          <w:tcPr>
            <w:tcW w:w="577" w:type="pct"/>
            <w:tcBorders>
              <w:bottom w:val="single" w:sz="4" w:space="0" w:color="auto"/>
            </w:tcBorders>
          </w:tcPr>
          <w:p w14:paraId="4DD1B3C4" w14:textId="4693E95F" w:rsidR="00672CF3" w:rsidRPr="00672CF3" w:rsidRDefault="00672CF3" w:rsidP="000054D2">
            <w:pPr>
              <w:spacing w:before="100" w:beforeAutospacing="1" w:afterAutospacing="1"/>
              <w:jc w:val="right"/>
              <w:rPr>
                <w:b/>
                <w:sz w:val="20"/>
                <w:szCs w:val="20"/>
              </w:rPr>
            </w:pPr>
            <w:r w:rsidRPr="00672CF3">
              <w:rPr>
                <w:b/>
                <w:sz w:val="20"/>
                <w:szCs w:val="20"/>
              </w:rPr>
              <w:t>73.24%</w:t>
            </w:r>
          </w:p>
        </w:tc>
        <w:tc>
          <w:tcPr>
            <w:tcW w:w="577" w:type="pct"/>
            <w:tcBorders>
              <w:bottom w:val="single" w:sz="4" w:space="0" w:color="auto"/>
            </w:tcBorders>
          </w:tcPr>
          <w:p w14:paraId="00EA33AF" w14:textId="7041DC00" w:rsidR="00672CF3" w:rsidRPr="00672CF3" w:rsidRDefault="00672CF3" w:rsidP="000054D2">
            <w:pPr>
              <w:spacing w:before="100" w:beforeAutospacing="1" w:afterAutospacing="1"/>
              <w:jc w:val="right"/>
              <w:rPr>
                <w:b/>
                <w:sz w:val="20"/>
                <w:szCs w:val="20"/>
              </w:rPr>
            </w:pPr>
            <w:r w:rsidRPr="00672CF3">
              <w:rPr>
                <w:b/>
                <w:sz w:val="20"/>
                <w:szCs w:val="20"/>
              </w:rPr>
              <w:t>73.82%</w:t>
            </w:r>
          </w:p>
        </w:tc>
        <w:tc>
          <w:tcPr>
            <w:tcW w:w="577" w:type="pct"/>
            <w:tcBorders>
              <w:bottom w:val="single" w:sz="4" w:space="0" w:color="auto"/>
            </w:tcBorders>
          </w:tcPr>
          <w:p w14:paraId="33CD6D02" w14:textId="3FC208BF" w:rsidR="00672CF3" w:rsidRPr="00672CF3" w:rsidRDefault="00672CF3" w:rsidP="000054D2">
            <w:pPr>
              <w:spacing w:before="100" w:beforeAutospacing="1" w:afterAutospacing="1"/>
              <w:jc w:val="right"/>
              <w:rPr>
                <w:b/>
                <w:sz w:val="20"/>
                <w:szCs w:val="20"/>
              </w:rPr>
            </w:pPr>
            <w:r w:rsidRPr="00672CF3">
              <w:rPr>
                <w:b/>
                <w:sz w:val="20"/>
                <w:szCs w:val="20"/>
              </w:rPr>
              <w:t>74.21%</w:t>
            </w:r>
          </w:p>
        </w:tc>
        <w:tc>
          <w:tcPr>
            <w:tcW w:w="508" w:type="pct"/>
            <w:tcBorders>
              <w:bottom w:val="single" w:sz="4" w:space="0" w:color="auto"/>
            </w:tcBorders>
          </w:tcPr>
          <w:p w14:paraId="6ADBB48D" w14:textId="691D5713" w:rsidR="00672CF3" w:rsidRPr="00672CF3" w:rsidRDefault="00672CF3" w:rsidP="000054D2">
            <w:pPr>
              <w:spacing w:before="100" w:beforeAutospacing="1" w:afterAutospacing="1"/>
              <w:jc w:val="right"/>
              <w:rPr>
                <w:b/>
                <w:sz w:val="20"/>
                <w:szCs w:val="20"/>
              </w:rPr>
            </w:pPr>
            <w:r w:rsidRPr="00672CF3">
              <w:rPr>
                <w:b/>
                <w:sz w:val="20"/>
                <w:szCs w:val="20"/>
              </w:rPr>
              <w:t>74.13%</w:t>
            </w:r>
          </w:p>
        </w:tc>
      </w:tr>
      <w:tr w:rsidR="001F5C4E" w:rsidRPr="000C7CFC" w14:paraId="3176F26A" w14:textId="77777777" w:rsidTr="000054D2">
        <w:trPr>
          <w:trHeight w:val="20"/>
        </w:trPr>
        <w:tc>
          <w:tcPr>
            <w:tcW w:w="5000" w:type="pct"/>
            <w:gridSpan w:val="6"/>
            <w:tcBorders>
              <w:top w:val="single" w:sz="4" w:space="0" w:color="auto"/>
            </w:tcBorders>
          </w:tcPr>
          <w:p w14:paraId="0F1EF3AD" w14:textId="35CE9732" w:rsidR="001F5C4E" w:rsidRPr="000C7CFC" w:rsidRDefault="001F5C4E" w:rsidP="000054D2">
            <w:pPr>
              <w:spacing w:before="100" w:beforeAutospacing="1" w:afterAutospacing="1"/>
              <w:rPr>
                <w:sz w:val="20"/>
                <w:szCs w:val="20"/>
              </w:rPr>
            </w:pPr>
            <w:r w:rsidRPr="000C7CFC">
              <w:rPr>
                <w:b/>
                <w:i/>
                <w:sz w:val="20"/>
                <w:szCs w:val="20"/>
              </w:rPr>
              <w:t xml:space="preserve">Source </w:t>
            </w:r>
            <w:r w:rsidRPr="000C7CFC">
              <w:rPr>
                <w:i/>
                <w:sz w:val="20"/>
                <w:szCs w:val="20"/>
              </w:rPr>
              <w:t>: OMB Fiscal 2019 Preliminary  Budget</w:t>
            </w:r>
          </w:p>
        </w:tc>
      </w:tr>
    </w:tbl>
    <w:p w14:paraId="57CA5C76" w14:textId="7548270D" w:rsidR="001F5C4E" w:rsidRDefault="000054D2" w:rsidP="000054D2">
      <w:pPr>
        <w:pStyle w:val="Heading2"/>
        <w:rPr>
          <w:rFonts w:eastAsia="Cambria"/>
        </w:rPr>
      </w:pPr>
      <w:bookmarkStart w:id="25" w:name="_Toc507592285"/>
      <w:r>
        <w:rPr>
          <w:rFonts w:eastAsia="Cambria"/>
        </w:rPr>
        <w:t>Revenue Plan</w:t>
      </w:r>
      <w:bookmarkEnd w:id="25"/>
    </w:p>
    <w:p w14:paraId="601E3C99" w14:textId="77777777" w:rsidR="001F5C4E" w:rsidRDefault="001F5C4E">
      <w:pPr>
        <w:spacing w:after="160" w:line="259" w:lineRule="auto"/>
        <w:jc w:val="left"/>
        <w:rPr>
          <w:rFonts w:ascii="Calibri" w:eastAsia="Cambria" w:hAnsi="Cambria" w:cs="Cambria"/>
          <w:b/>
          <w:sz w:val="19"/>
        </w:rPr>
      </w:pPr>
      <w:r>
        <w:rPr>
          <w:rFonts w:ascii="Calibri" w:eastAsia="Cambria" w:hAnsi="Cambria" w:cs="Cambria"/>
          <w:b/>
          <w:sz w:val="19"/>
        </w:rPr>
        <w:br w:type="page"/>
      </w:r>
    </w:p>
    <w:p w14:paraId="5668DD4E" w14:textId="4234B04C" w:rsidR="000054D2" w:rsidRPr="000054D2" w:rsidRDefault="000054D2" w:rsidP="000054D2">
      <w:pPr>
        <w:pStyle w:val="Heading2"/>
        <w:spacing w:after="120"/>
        <w:rPr>
          <w:rFonts w:eastAsia="Cambria"/>
        </w:rPr>
      </w:pPr>
      <w:bookmarkStart w:id="26" w:name="_Toc507592286"/>
      <w:r>
        <w:rPr>
          <w:rFonts w:eastAsia="Cambria"/>
        </w:rPr>
        <w:lastRenderedPageBreak/>
        <w:t>Revenue Plan Changes</w:t>
      </w:r>
      <w:bookmarkEnd w:id="26"/>
    </w:p>
    <w:tbl>
      <w:tblPr>
        <w:tblW w:w="5000" w:type="pct"/>
        <w:tblLook w:val="04A0" w:firstRow="1" w:lastRow="0" w:firstColumn="1" w:lastColumn="0" w:noHBand="0" w:noVBand="1"/>
      </w:tblPr>
      <w:tblGrid>
        <w:gridCol w:w="477"/>
        <w:gridCol w:w="4354"/>
        <w:gridCol w:w="1151"/>
        <w:gridCol w:w="1234"/>
        <w:gridCol w:w="1069"/>
        <w:gridCol w:w="1075"/>
      </w:tblGrid>
      <w:tr w:rsidR="00C47566" w:rsidRPr="008B204E" w14:paraId="0D772E66" w14:textId="77777777" w:rsidTr="00C47566">
        <w:trPr>
          <w:trHeight w:val="20"/>
        </w:trPr>
        <w:tc>
          <w:tcPr>
            <w:tcW w:w="5000" w:type="pct"/>
            <w:gridSpan w:val="6"/>
            <w:tcBorders>
              <w:top w:val="single" w:sz="4" w:space="0" w:color="auto"/>
            </w:tcBorders>
            <w:shd w:val="clear" w:color="auto" w:fill="auto"/>
            <w:noWrap/>
            <w:hideMark/>
          </w:tcPr>
          <w:p w14:paraId="2FEB2794" w14:textId="77777777" w:rsidR="00C47566" w:rsidRDefault="00C47566" w:rsidP="000C7CFC">
            <w:pPr>
              <w:spacing w:after="0"/>
              <w:rPr>
                <w:rFonts w:eastAsia="Times New Roman" w:cs="Times New Roman"/>
                <w:b/>
                <w:bCs/>
                <w:color w:val="000000"/>
                <w:sz w:val="20"/>
                <w:szCs w:val="20"/>
              </w:rPr>
            </w:pPr>
            <w:bookmarkStart w:id="27" w:name="RANGE!B2:F45"/>
            <w:r w:rsidRPr="00184DF0">
              <w:rPr>
                <w:rFonts w:eastAsia="Times New Roman" w:cs="Times New Roman"/>
                <w:b/>
                <w:bCs/>
                <w:color w:val="000000"/>
                <w:sz w:val="20"/>
                <w:szCs w:val="20"/>
              </w:rPr>
              <w:t>Preliminary Budget Fiscal 2019 - OMB Revenue Changes from November Plan Fiscal 2018</w:t>
            </w:r>
            <w:bookmarkEnd w:id="27"/>
          </w:p>
          <w:p w14:paraId="131E5387" w14:textId="03F4A37E" w:rsidR="00C47566" w:rsidRPr="00C47566" w:rsidRDefault="00C47566" w:rsidP="000C7CFC">
            <w:pPr>
              <w:spacing w:after="0"/>
              <w:rPr>
                <w:rFonts w:eastAsia="Times New Roman" w:cs="Times New Roman"/>
                <w:bCs/>
                <w:i/>
                <w:color w:val="000000"/>
                <w:sz w:val="20"/>
                <w:szCs w:val="20"/>
              </w:rPr>
            </w:pPr>
            <w:r>
              <w:rPr>
                <w:rFonts w:eastAsia="Times New Roman" w:cs="Times New Roman"/>
                <w:bCs/>
                <w:i/>
                <w:color w:val="000000"/>
                <w:sz w:val="20"/>
                <w:szCs w:val="20"/>
              </w:rPr>
              <w:t>Dollars in Millions</w:t>
            </w:r>
          </w:p>
        </w:tc>
      </w:tr>
      <w:tr w:rsidR="000C7CFC" w:rsidRPr="008B204E" w14:paraId="2857A4D5" w14:textId="77777777" w:rsidTr="00C47566">
        <w:trPr>
          <w:trHeight w:val="20"/>
        </w:trPr>
        <w:tc>
          <w:tcPr>
            <w:tcW w:w="255" w:type="pct"/>
            <w:tcBorders>
              <w:top w:val="single" w:sz="4" w:space="0" w:color="auto"/>
              <w:bottom w:val="single" w:sz="4" w:space="0" w:color="auto"/>
            </w:tcBorders>
            <w:shd w:val="clear" w:color="auto" w:fill="auto"/>
            <w:noWrap/>
            <w:vAlign w:val="bottom"/>
            <w:hideMark/>
          </w:tcPr>
          <w:p w14:paraId="1C2D3ECA" w14:textId="77777777" w:rsidR="000C7CFC" w:rsidRPr="00184DF0" w:rsidRDefault="000C7CFC" w:rsidP="000C7CFC">
            <w:pPr>
              <w:spacing w:after="0"/>
              <w:rPr>
                <w:rFonts w:eastAsia="Times New Roman" w:cs="Times New Roman"/>
                <w:color w:val="000000"/>
                <w:sz w:val="20"/>
                <w:szCs w:val="20"/>
              </w:rPr>
            </w:pPr>
            <w:r w:rsidRPr="00184DF0">
              <w:rPr>
                <w:rFonts w:eastAsia="Times New Roman" w:cs="Times New Roman"/>
                <w:color w:val="000000"/>
                <w:sz w:val="20"/>
                <w:szCs w:val="20"/>
              </w:rPr>
              <w:t> </w:t>
            </w:r>
          </w:p>
        </w:tc>
        <w:tc>
          <w:tcPr>
            <w:tcW w:w="2326" w:type="pct"/>
            <w:tcBorders>
              <w:top w:val="single" w:sz="4" w:space="0" w:color="auto"/>
              <w:bottom w:val="single" w:sz="4" w:space="0" w:color="auto"/>
            </w:tcBorders>
            <w:shd w:val="clear" w:color="auto" w:fill="auto"/>
            <w:noWrap/>
            <w:vAlign w:val="bottom"/>
            <w:hideMark/>
          </w:tcPr>
          <w:p w14:paraId="0ECE89F4" w14:textId="77777777" w:rsidR="000C7CFC" w:rsidRPr="00184DF0" w:rsidRDefault="000C7CFC" w:rsidP="000C7CFC">
            <w:pPr>
              <w:spacing w:after="0"/>
              <w:jc w:val="center"/>
              <w:rPr>
                <w:rFonts w:eastAsia="Times New Roman" w:cs="Times New Roman"/>
                <w:b/>
                <w:bCs/>
                <w:color w:val="000000"/>
                <w:sz w:val="20"/>
                <w:szCs w:val="20"/>
              </w:rPr>
            </w:pPr>
            <w:r w:rsidRPr="00184DF0">
              <w:rPr>
                <w:rFonts w:eastAsia="Times New Roman" w:cs="Times New Roman"/>
                <w:b/>
                <w:bCs/>
                <w:color w:val="000000"/>
                <w:sz w:val="20"/>
                <w:szCs w:val="20"/>
              </w:rPr>
              <w:t> </w:t>
            </w:r>
          </w:p>
        </w:tc>
        <w:tc>
          <w:tcPr>
            <w:tcW w:w="615" w:type="pct"/>
            <w:tcBorders>
              <w:top w:val="single" w:sz="4" w:space="0" w:color="auto"/>
              <w:bottom w:val="single" w:sz="4" w:space="0" w:color="auto"/>
            </w:tcBorders>
            <w:shd w:val="clear" w:color="auto" w:fill="auto"/>
            <w:noWrap/>
            <w:vAlign w:val="bottom"/>
            <w:hideMark/>
          </w:tcPr>
          <w:p w14:paraId="248EFC75" w14:textId="77777777" w:rsidR="000C7CFC" w:rsidRPr="00184DF0" w:rsidRDefault="000C7CFC" w:rsidP="000C7CFC">
            <w:pPr>
              <w:spacing w:after="0"/>
              <w:jc w:val="center"/>
              <w:rPr>
                <w:rFonts w:eastAsia="Times New Roman" w:cs="Times New Roman"/>
                <w:b/>
                <w:bCs/>
                <w:color w:val="000000"/>
                <w:sz w:val="20"/>
                <w:szCs w:val="20"/>
              </w:rPr>
            </w:pPr>
            <w:r w:rsidRPr="00184DF0">
              <w:rPr>
                <w:rFonts w:eastAsia="Times New Roman" w:cs="Times New Roman"/>
                <w:b/>
                <w:bCs/>
                <w:color w:val="000000"/>
                <w:sz w:val="20"/>
                <w:szCs w:val="20"/>
              </w:rPr>
              <w:t>FY18</w:t>
            </w:r>
          </w:p>
        </w:tc>
        <w:tc>
          <w:tcPr>
            <w:tcW w:w="659" w:type="pct"/>
            <w:tcBorders>
              <w:top w:val="single" w:sz="4" w:space="0" w:color="auto"/>
              <w:bottom w:val="single" w:sz="4" w:space="0" w:color="auto"/>
            </w:tcBorders>
            <w:shd w:val="clear" w:color="auto" w:fill="auto"/>
            <w:noWrap/>
            <w:vAlign w:val="bottom"/>
            <w:hideMark/>
          </w:tcPr>
          <w:p w14:paraId="1C77CB6E" w14:textId="77777777" w:rsidR="000C7CFC" w:rsidRPr="00184DF0" w:rsidRDefault="000C7CFC" w:rsidP="000C7CFC">
            <w:pPr>
              <w:spacing w:after="0"/>
              <w:jc w:val="center"/>
              <w:rPr>
                <w:rFonts w:eastAsia="Times New Roman" w:cs="Times New Roman"/>
                <w:b/>
                <w:bCs/>
                <w:color w:val="000000"/>
                <w:sz w:val="20"/>
                <w:szCs w:val="20"/>
              </w:rPr>
            </w:pPr>
            <w:r w:rsidRPr="00184DF0">
              <w:rPr>
                <w:rFonts w:eastAsia="Times New Roman" w:cs="Times New Roman"/>
                <w:b/>
                <w:bCs/>
                <w:color w:val="000000"/>
                <w:sz w:val="20"/>
                <w:szCs w:val="20"/>
              </w:rPr>
              <w:t>FY19</w:t>
            </w:r>
          </w:p>
        </w:tc>
        <w:tc>
          <w:tcPr>
            <w:tcW w:w="571" w:type="pct"/>
            <w:tcBorders>
              <w:top w:val="single" w:sz="4" w:space="0" w:color="auto"/>
              <w:bottom w:val="single" w:sz="4" w:space="0" w:color="auto"/>
            </w:tcBorders>
            <w:shd w:val="clear" w:color="auto" w:fill="auto"/>
            <w:noWrap/>
            <w:vAlign w:val="bottom"/>
            <w:hideMark/>
          </w:tcPr>
          <w:p w14:paraId="3AC3F3E8" w14:textId="77777777" w:rsidR="000C7CFC" w:rsidRPr="00184DF0" w:rsidRDefault="000C7CFC" w:rsidP="000C7CFC">
            <w:pPr>
              <w:spacing w:after="0"/>
              <w:jc w:val="center"/>
              <w:rPr>
                <w:rFonts w:eastAsia="Times New Roman" w:cs="Times New Roman"/>
                <w:b/>
                <w:bCs/>
                <w:color w:val="000000"/>
                <w:sz w:val="20"/>
                <w:szCs w:val="20"/>
              </w:rPr>
            </w:pPr>
            <w:r w:rsidRPr="00184DF0">
              <w:rPr>
                <w:rFonts w:eastAsia="Times New Roman" w:cs="Times New Roman"/>
                <w:b/>
                <w:bCs/>
                <w:color w:val="000000"/>
                <w:sz w:val="20"/>
                <w:szCs w:val="20"/>
              </w:rPr>
              <w:t>FY20</w:t>
            </w:r>
          </w:p>
        </w:tc>
        <w:tc>
          <w:tcPr>
            <w:tcW w:w="574" w:type="pct"/>
            <w:tcBorders>
              <w:top w:val="single" w:sz="4" w:space="0" w:color="auto"/>
              <w:bottom w:val="single" w:sz="4" w:space="0" w:color="auto"/>
            </w:tcBorders>
            <w:shd w:val="clear" w:color="auto" w:fill="auto"/>
            <w:noWrap/>
            <w:vAlign w:val="bottom"/>
            <w:hideMark/>
          </w:tcPr>
          <w:p w14:paraId="0A70E6EC" w14:textId="77777777" w:rsidR="000C7CFC" w:rsidRPr="00184DF0" w:rsidRDefault="000C7CFC" w:rsidP="000C7CFC">
            <w:pPr>
              <w:spacing w:after="0"/>
              <w:jc w:val="center"/>
              <w:rPr>
                <w:rFonts w:eastAsia="Times New Roman" w:cs="Times New Roman"/>
                <w:b/>
                <w:bCs/>
                <w:color w:val="000000"/>
                <w:sz w:val="20"/>
                <w:szCs w:val="20"/>
              </w:rPr>
            </w:pPr>
            <w:r w:rsidRPr="00184DF0">
              <w:rPr>
                <w:rFonts w:eastAsia="Times New Roman" w:cs="Times New Roman"/>
                <w:b/>
                <w:bCs/>
                <w:color w:val="000000"/>
                <w:sz w:val="20"/>
                <w:szCs w:val="20"/>
              </w:rPr>
              <w:t>FY21</w:t>
            </w:r>
          </w:p>
        </w:tc>
      </w:tr>
      <w:tr w:rsidR="000C7CFC" w:rsidRPr="008B204E" w14:paraId="1BDFC01B" w14:textId="77777777" w:rsidTr="00C47566">
        <w:trPr>
          <w:trHeight w:val="20"/>
        </w:trPr>
        <w:tc>
          <w:tcPr>
            <w:tcW w:w="2581" w:type="pct"/>
            <w:gridSpan w:val="2"/>
            <w:tcBorders>
              <w:top w:val="single" w:sz="4" w:space="0" w:color="auto"/>
            </w:tcBorders>
            <w:shd w:val="clear" w:color="auto" w:fill="auto"/>
            <w:noWrap/>
            <w:vAlign w:val="bottom"/>
            <w:hideMark/>
          </w:tcPr>
          <w:p w14:paraId="455B4297"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Taxes</w:t>
            </w:r>
          </w:p>
        </w:tc>
        <w:tc>
          <w:tcPr>
            <w:tcW w:w="615" w:type="pct"/>
            <w:tcBorders>
              <w:top w:val="single" w:sz="4" w:space="0" w:color="auto"/>
            </w:tcBorders>
            <w:shd w:val="clear" w:color="auto" w:fill="auto"/>
            <w:noWrap/>
            <w:vAlign w:val="bottom"/>
            <w:hideMark/>
          </w:tcPr>
          <w:p w14:paraId="59167212" w14:textId="77777777" w:rsidR="000C7CFC" w:rsidRPr="00184DF0" w:rsidRDefault="000C7CFC" w:rsidP="000C7CFC">
            <w:pPr>
              <w:spacing w:after="0"/>
              <w:jc w:val="center"/>
              <w:rPr>
                <w:rFonts w:eastAsia="Times New Roman" w:cs="Times New Roman"/>
                <w:b/>
                <w:bCs/>
                <w:sz w:val="20"/>
                <w:szCs w:val="20"/>
              </w:rPr>
            </w:pPr>
          </w:p>
        </w:tc>
        <w:tc>
          <w:tcPr>
            <w:tcW w:w="659" w:type="pct"/>
            <w:tcBorders>
              <w:top w:val="single" w:sz="4" w:space="0" w:color="auto"/>
            </w:tcBorders>
            <w:shd w:val="clear" w:color="auto" w:fill="auto"/>
            <w:noWrap/>
            <w:vAlign w:val="bottom"/>
            <w:hideMark/>
          </w:tcPr>
          <w:p w14:paraId="4D2306DD" w14:textId="77777777" w:rsidR="000C7CFC" w:rsidRPr="00184DF0" w:rsidRDefault="000C7CFC" w:rsidP="000C7CFC">
            <w:pPr>
              <w:spacing w:after="0"/>
              <w:jc w:val="center"/>
              <w:rPr>
                <w:rFonts w:eastAsia="Times New Roman" w:cs="Times New Roman"/>
                <w:sz w:val="20"/>
                <w:szCs w:val="20"/>
              </w:rPr>
            </w:pPr>
          </w:p>
        </w:tc>
        <w:tc>
          <w:tcPr>
            <w:tcW w:w="571" w:type="pct"/>
            <w:tcBorders>
              <w:top w:val="single" w:sz="4" w:space="0" w:color="auto"/>
            </w:tcBorders>
            <w:shd w:val="clear" w:color="auto" w:fill="auto"/>
            <w:noWrap/>
            <w:vAlign w:val="bottom"/>
            <w:hideMark/>
          </w:tcPr>
          <w:p w14:paraId="53CB1C75" w14:textId="77777777" w:rsidR="000C7CFC" w:rsidRPr="00184DF0" w:rsidRDefault="000C7CFC" w:rsidP="000C7CFC">
            <w:pPr>
              <w:spacing w:after="0"/>
              <w:jc w:val="center"/>
              <w:rPr>
                <w:rFonts w:eastAsia="Times New Roman" w:cs="Times New Roman"/>
                <w:sz w:val="20"/>
                <w:szCs w:val="20"/>
              </w:rPr>
            </w:pPr>
          </w:p>
        </w:tc>
        <w:tc>
          <w:tcPr>
            <w:tcW w:w="574" w:type="pct"/>
            <w:tcBorders>
              <w:top w:val="single" w:sz="4" w:space="0" w:color="auto"/>
            </w:tcBorders>
            <w:shd w:val="clear" w:color="auto" w:fill="auto"/>
            <w:noWrap/>
            <w:vAlign w:val="bottom"/>
            <w:hideMark/>
          </w:tcPr>
          <w:p w14:paraId="320F9BFB" w14:textId="77777777" w:rsidR="000C7CFC" w:rsidRPr="00184DF0" w:rsidRDefault="000C7CFC" w:rsidP="000C7CFC">
            <w:pPr>
              <w:spacing w:after="0"/>
              <w:jc w:val="center"/>
              <w:rPr>
                <w:rFonts w:eastAsia="Times New Roman" w:cs="Times New Roman"/>
                <w:sz w:val="20"/>
                <w:szCs w:val="20"/>
              </w:rPr>
            </w:pPr>
          </w:p>
        </w:tc>
      </w:tr>
      <w:tr w:rsidR="000C7CFC" w:rsidRPr="008B204E" w14:paraId="0DD297B7" w14:textId="77777777" w:rsidTr="00C47566">
        <w:trPr>
          <w:trHeight w:val="20"/>
        </w:trPr>
        <w:tc>
          <w:tcPr>
            <w:tcW w:w="255" w:type="pct"/>
            <w:shd w:val="clear" w:color="auto" w:fill="auto"/>
            <w:noWrap/>
            <w:vAlign w:val="bottom"/>
          </w:tcPr>
          <w:p w14:paraId="71D99011" w14:textId="77777777" w:rsidR="000C7CFC" w:rsidRPr="00184DF0" w:rsidRDefault="000C7CFC" w:rsidP="000C7CFC">
            <w:pPr>
              <w:spacing w:after="0"/>
              <w:rPr>
                <w:rFonts w:eastAsia="Times New Roman" w:cs="Times New Roman"/>
                <w:sz w:val="20"/>
                <w:szCs w:val="20"/>
              </w:rPr>
            </w:pPr>
          </w:p>
        </w:tc>
        <w:tc>
          <w:tcPr>
            <w:tcW w:w="2326" w:type="pct"/>
            <w:shd w:val="clear" w:color="auto" w:fill="auto"/>
            <w:noWrap/>
            <w:vAlign w:val="bottom"/>
            <w:hideMark/>
          </w:tcPr>
          <w:p w14:paraId="4278C839"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Real Estate</w:t>
            </w:r>
          </w:p>
        </w:tc>
        <w:tc>
          <w:tcPr>
            <w:tcW w:w="615" w:type="pct"/>
            <w:shd w:val="clear" w:color="auto" w:fill="auto"/>
            <w:noWrap/>
            <w:vAlign w:val="bottom"/>
            <w:hideMark/>
          </w:tcPr>
          <w:p w14:paraId="2EA609DA"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$268 </w:t>
            </w:r>
          </w:p>
        </w:tc>
        <w:tc>
          <w:tcPr>
            <w:tcW w:w="659" w:type="pct"/>
            <w:shd w:val="clear" w:color="auto" w:fill="auto"/>
            <w:noWrap/>
            <w:vAlign w:val="bottom"/>
            <w:hideMark/>
          </w:tcPr>
          <w:p w14:paraId="32D4AD3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$226 </w:t>
            </w:r>
          </w:p>
        </w:tc>
        <w:tc>
          <w:tcPr>
            <w:tcW w:w="571" w:type="pct"/>
            <w:shd w:val="clear" w:color="auto" w:fill="auto"/>
            <w:noWrap/>
            <w:vAlign w:val="bottom"/>
            <w:hideMark/>
          </w:tcPr>
          <w:p w14:paraId="2404DEBC"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$344 </w:t>
            </w:r>
          </w:p>
        </w:tc>
        <w:tc>
          <w:tcPr>
            <w:tcW w:w="574" w:type="pct"/>
            <w:shd w:val="clear" w:color="auto" w:fill="auto"/>
            <w:noWrap/>
            <w:vAlign w:val="bottom"/>
            <w:hideMark/>
          </w:tcPr>
          <w:p w14:paraId="69E19308"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$508 </w:t>
            </w:r>
          </w:p>
        </w:tc>
      </w:tr>
      <w:tr w:rsidR="000C7CFC" w:rsidRPr="008B204E" w14:paraId="21CFD82A" w14:textId="77777777" w:rsidTr="00C47566">
        <w:trPr>
          <w:trHeight w:val="20"/>
        </w:trPr>
        <w:tc>
          <w:tcPr>
            <w:tcW w:w="255" w:type="pct"/>
            <w:shd w:val="clear" w:color="auto" w:fill="auto"/>
            <w:noWrap/>
            <w:vAlign w:val="bottom"/>
            <w:hideMark/>
          </w:tcPr>
          <w:p w14:paraId="6312F9FB"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6A0CFC5B"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Sales</w:t>
            </w:r>
          </w:p>
        </w:tc>
        <w:tc>
          <w:tcPr>
            <w:tcW w:w="615" w:type="pct"/>
            <w:shd w:val="clear" w:color="auto" w:fill="auto"/>
            <w:noWrap/>
            <w:vAlign w:val="bottom"/>
            <w:hideMark/>
          </w:tcPr>
          <w:p w14:paraId="0F3A17A9"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81 </w:t>
            </w:r>
          </w:p>
        </w:tc>
        <w:tc>
          <w:tcPr>
            <w:tcW w:w="659" w:type="pct"/>
            <w:shd w:val="clear" w:color="auto" w:fill="auto"/>
            <w:noWrap/>
            <w:vAlign w:val="bottom"/>
            <w:hideMark/>
          </w:tcPr>
          <w:p w14:paraId="42AA77C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25 </w:t>
            </w:r>
          </w:p>
        </w:tc>
        <w:tc>
          <w:tcPr>
            <w:tcW w:w="571" w:type="pct"/>
            <w:shd w:val="clear" w:color="auto" w:fill="auto"/>
            <w:noWrap/>
            <w:vAlign w:val="bottom"/>
            <w:hideMark/>
          </w:tcPr>
          <w:p w14:paraId="20C0D3EC"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(18)</w:t>
            </w:r>
          </w:p>
        </w:tc>
        <w:tc>
          <w:tcPr>
            <w:tcW w:w="574" w:type="pct"/>
            <w:shd w:val="clear" w:color="auto" w:fill="auto"/>
            <w:noWrap/>
            <w:vAlign w:val="bottom"/>
            <w:hideMark/>
          </w:tcPr>
          <w:p w14:paraId="208ED00A"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(15)</w:t>
            </w:r>
          </w:p>
        </w:tc>
      </w:tr>
      <w:tr w:rsidR="000C7CFC" w:rsidRPr="008B204E" w14:paraId="2EB1F260" w14:textId="77777777" w:rsidTr="00C47566">
        <w:trPr>
          <w:trHeight w:val="20"/>
        </w:trPr>
        <w:tc>
          <w:tcPr>
            <w:tcW w:w="255" w:type="pct"/>
            <w:shd w:val="clear" w:color="auto" w:fill="auto"/>
            <w:noWrap/>
            <w:vAlign w:val="bottom"/>
            <w:hideMark/>
          </w:tcPr>
          <w:p w14:paraId="3DA49681"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6E2EA522"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Mortgage Recording</w:t>
            </w:r>
          </w:p>
        </w:tc>
        <w:tc>
          <w:tcPr>
            <w:tcW w:w="615" w:type="pct"/>
            <w:shd w:val="clear" w:color="auto" w:fill="auto"/>
            <w:noWrap/>
            <w:vAlign w:val="bottom"/>
            <w:hideMark/>
          </w:tcPr>
          <w:p w14:paraId="0E81F421"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32 </w:t>
            </w:r>
          </w:p>
        </w:tc>
        <w:tc>
          <w:tcPr>
            <w:tcW w:w="659" w:type="pct"/>
            <w:shd w:val="clear" w:color="auto" w:fill="auto"/>
            <w:noWrap/>
            <w:vAlign w:val="bottom"/>
            <w:hideMark/>
          </w:tcPr>
          <w:p w14:paraId="2A7F435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(31)</w:t>
            </w:r>
          </w:p>
        </w:tc>
        <w:tc>
          <w:tcPr>
            <w:tcW w:w="571" w:type="pct"/>
            <w:shd w:val="clear" w:color="auto" w:fill="auto"/>
            <w:noWrap/>
            <w:vAlign w:val="bottom"/>
            <w:hideMark/>
          </w:tcPr>
          <w:p w14:paraId="6F467681"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(58)</w:t>
            </w:r>
          </w:p>
        </w:tc>
        <w:tc>
          <w:tcPr>
            <w:tcW w:w="574" w:type="pct"/>
            <w:shd w:val="clear" w:color="auto" w:fill="auto"/>
            <w:noWrap/>
            <w:vAlign w:val="bottom"/>
            <w:hideMark/>
          </w:tcPr>
          <w:p w14:paraId="7D3D2B45"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(66)</w:t>
            </w:r>
          </w:p>
        </w:tc>
      </w:tr>
      <w:tr w:rsidR="000C7CFC" w:rsidRPr="008B204E" w14:paraId="122FFAF6" w14:textId="77777777" w:rsidTr="00C47566">
        <w:trPr>
          <w:trHeight w:val="20"/>
        </w:trPr>
        <w:tc>
          <w:tcPr>
            <w:tcW w:w="255" w:type="pct"/>
            <w:shd w:val="clear" w:color="auto" w:fill="auto"/>
            <w:noWrap/>
            <w:vAlign w:val="bottom"/>
            <w:hideMark/>
          </w:tcPr>
          <w:p w14:paraId="7BAC0D89"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1290379C"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Personal Income</w:t>
            </w:r>
          </w:p>
        </w:tc>
        <w:tc>
          <w:tcPr>
            <w:tcW w:w="615" w:type="pct"/>
            <w:shd w:val="clear" w:color="auto" w:fill="auto"/>
            <w:noWrap/>
            <w:vAlign w:val="bottom"/>
            <w:hideMark/>
          </w:tcPr>
          <w:p w14:paraId="41B2127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16 </w:t>
            </w:r>
          </w:p>
        </w:tc>
        <w:tc>
          <w:tcPr>
            <w:tcW w:w="659" w:type="pct"/>
            <w:shd w:val="clear" w:color="auto" w:fill="auto"/>
            <w:noWrap/>
            <w:vAlign w:val="bottom"/>
            <w:hideMark/>
          </w:tcPr>
          <w:p w14:paraId="677A70C9"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111 </w:t>
            </w:r>
          </w:p>
        </w:tc>
        <w:tc>
          <w:tcPr>
            <w:tcW w:w="571" w:type="pct"/>
            <w:shd w:val="clear" w:color="auto" w:fill="auto"/>
            <w:noWrap/>
            <w:vAlign w:val="bottom"/>
            <w:hideMark/>
          </w:tcPr>
          <w:p w14:paraId="5F45B2E6"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132 </w:t>
            </w:r>
          </w:p>
        </w:tc>
        <w:tc>
          <w:tcPr>
            <w:tcW w:w="574" w:type="pct"/>
            <w:shd w:val="clear" w:color="auto" w:fill="auto"/>
            <w:noWrap/>
            <w:vAlign w:val="bottom"/>
            <w:hideMark/>
          </w:tcPr>
          <w:p w14:paraId="0FED004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104 </w:t>
            </w:r>
          </w:p>
        </w:tc>
      </w:tr>
      <w:tr w:rsidR="000C7CFC" w:rsidRPr="008B204E" w14:paraId="36E56FCE" w14:textId="77777777" w:rsidTr="00C47566">
        <w:trPr>
          <w:trHeight w:val="20"/>
        </w:trPr>
        <w:tc>
          <w:tcPr>
            <w:tcW w:w="255" w:type="pct"/>
            <w:shd w:val="clear" w:color="auto" w:fill="auto"/>
            <w:noWrap/>
            <w:vAlign w:val="bottom"/>
            <w:hideMark/>
          </w:tcPr>
          <w:p w14:paraId="55BB6311"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10D469C1"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General Corporation</w:t>
            </w:r>
          </w:p>
        </w:tc>
        <w:tc>
          <w:tcPr>
            <w:tcW w:w="615" w:type="pct"/>
            <w:shd w:val="clear" w:color="auto" w:fill="auto"/>
            <w:noWrap/>
            <w:vAlign w:val="bottom"/>
            <w:hideMark/>
          </w:tcPr>
          <w:p w14:paraId="3FE9DE2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(255)</w:t>
            </w:r>
          </w:p>
        </w:tc>
        <w:tc>
          <w:tcPr>
            <w:tcW w:w="659" w:type="pct"/>
            <w:shd w:val="clear" w:color="auto" w:fill="auto"/>
            <w:noWrap/>
            <w:vAlign w:val="bottom"/>
            <w:hideMark/>
          </w:tcPr>
          <w:p w14:paraId="09FBDA6E"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(268)</w:t>
            </w:r>
          </w:p>
        </w:tc>
        <w:tc>
          <w:tcPr>
            <w:tcW w:w="571" w:type="pct"/>
            <w:shd w:val="clear" w:color="auto" w:fill="auto"/>
            <w:noWrap/>
            <w:vAlign w:val="bottom"/>
            <w:hideMark/>
          </w:tcPr>
          <w:p w14:paraId="1DF76F27"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(285)</w:t>
            </w:r>
          </w:p>
        </w:tc>
        <w:tc>
          <w:tcPr>
            <w:tcW w:w="574" w:type="pct"/>
            <w:shd w:val="clear" w:color="auto" w:fill="auto"/>
            <w:noWrap/>
            <w:vAlign w:val="bottom"/>
            <w:hideMark/>
          </w:tcPr>
          <w:p w14:paraId="386FDFB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(377)</w:t>
            </w:r>
          </w:p>
        </w:tc>
      </w:tr>
      <w:tr w:rsidR="000C7CFC" w:rsidRPr="008B204E" w14:paraId="07B57350" w14:textId="77777777" w:rsidTr="00C47566">
        <w:trPr>
          <w:trHeight w:val="20"/>
        </w:trPr>
        <w:tc>
          <w:tcPr>
            <w:tcW w:w="255" w:type="pct"/>
            <w:shd w:val="clear" w:color="auto" w:fill="auto"/>
            <w:noWrap/>
            <w:vAlign w:val="bottom"/>
            <w:hideMark/>
          </w:tcPr>
          <w:p w14:paraId="1AFEF7E5"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4278DFA9"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Banking Corporation</w:t>
            </w:r>
          </w:p>
        </w:tc>
        <w:tc>
          <w:tcPr>
            <w:tcW w:w="615" w:type="pct"/>
            <w:shd w:val="clear" w:color="auto" w:fill="auto"/>
            <w:noWrap/>
            <w:vAlign w:val="bottom"/>
            <w:hideMark/>
          </w:tcPr>
          <w:p w14:paraId="32293D9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659" w:type="pct"/>
            <w:shd w:val="clear" w:color="auto" w:fill="auto"/>
            <w:noWrap/>
            <w:vAlign w:val="bottom"/>
            <w:hideMark/>
          </w:tcPr>
          <w:p w14:paraId="732BE87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1" w:type="pct"/>
            <w:shd w:val="clear" w:color="auto" w:fill="auto"/>
            <w:noWrap/>
            <w:vAlign w:val="bottom"/>
            <w:hideMark/>
          </w:tcPr>
          <w:p w14:paraId="76815885"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4" w:type="pct"/>
            <w:shd w:val="clear" w:color="auto" w:fill="auto"/>
            <w:noWrap/>
            <w:vAlign w:val="bottom"/>
            <w:hideMark/>
          </w:tcPr>
          <w:p w14:paraId="5B2DD0F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r>
      <w:tr w:rsidR="000C7CFC" w:rsidRPr="008B204E" w14:paraId="22333439" w14:textId="77777777" w:rsidTr="00C47566">
        <w:trPr>
          <w:trHeight w:val="20"/>
        </w:trPr>
        <w:tc>
          <w:tcPr>
            <w:tcW w:w="255" w:type="pct"/>
            <w:shd w:val="clear" w:color="auto" w:fill="auto"/>
            <w:noWrap/>
            <w:vAlign w:val="bottom"/>
            <w:hideMark/>
          </w:tcPr>
          <w:p w14:paraId="57157BA9"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6E35D3B0" w14:textId="77777777" w:rsidR="000C7CFC" w:rsidRPr="00184DF0" w:rsidRDefault="000C7CFC" w:rsidP="000C7CFC">
            <w:pPr>
              <w:spacing w:after="0"/>
              <w:rPr>
                <w:rFonts w:eastAsia="Times New Roman" w:cs="Times New Roman"/>
                <w:sz w:val="20"/>
                <w:szCs w:val="20"/>
              </w:rPr>
            </w:pPr>
            <w:r w:rsidRPr="008B204E">
              <w:rPr>
                <w:rFonts w:eastAsia="Times New Roman" w:cs="Times New Roman"/>
                <w:sz w:val="20"/>
                <w:szCs w:val="20"/>
              </w:rPr>
              <w:t>Unincorporated</w:t>
            </w:r>
            <w:r w:rsidRPr="00184DF0">
              <w:rPr>
                <w:rFonts w:eastAsia="Times New Roman" w:cs="Times New Roman"/>
                <w:sz w:val="20"/>
                <w:szCs w:val="20"/>
              </w:rPr>
              <w:t xml:space="preserve"> Business</w:t>
            </w:r>
          </w:p>
        </w:tc>
        <w:tc>
          <w:tcPr>
            <w:tcW w:w="615" w:type="pct"/>
            <w:shd w:val="clear" w:color="auto" w:fill="auto"/>
            <w:noWrap/>
            <w:vAlign w:val="bottom"/>
            <w:hideMark/>
          </w:tcPr>
          <w:p w14:paraId="22070A37"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659" w:type="pct"/>
            <w:shd w:val="clear" w:color="auto" w:fill="auto"/>
            <w:noWrap/>
            <w:vAlign w:val="bottom"/>
            <w:hideMark/>
          </w:tcPr>
          <w:p w14:paraId="031F9C7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23 </w:t>
            </w:r>
          </w:p>
        </w:tc>
        <w:tc>
          <w:tcPr>
            <w:tcW w:w="571" w:type="pct"/>
            <w:shd w:val="clear" w:color="auto" w:fill="auto"/>
            <w:noWrap/>
            <w:vAlign w:val="bottom"/>
            <w:hideMark/>
          </w:tcPr>
          <w:p w14:paraId="6EC1B1A7"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9 </w:t>
            </w:r>
          </w:p>
        </w:tc>
        <w:tc>
          <w:tcPr>
            <w:tcW w:w="574" w:type="pct"/>
            <w:shd w:val="clear" w:color="auto" w:fill="auto"/>
            <w:noWrap/>
            <w:vAlign w:val="bottom"/>
            <w:hideMark/>
          </w:tcPr>
          <w:p w14:paraId="17C9579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(12)</w:t>
            </w:r>
          </w:p>
        </w:tc>
      </w:tr>
      <w:tr w:rsidR="000C7CFC" w:rsidRPr="008B204E" w14:paraId="31EAACB2" w14:textId="77777777" w:rsidTr="00C47566">
        <w:trPr>
          <w:trHeight w:val="20"/>
        </w:trPr>
        <w:tc>
          <w:tcPr>
            <w:tcW w:w="255" w:type="pct"/>
            <w:shd w:val="clear" w:color="auto" w:fill="auto"/>
            <w:noWrap/>
            <w:vAlign w:val="bottom"/>
            <w:hideMark/>
          </w:tcPr>
          <w:p w14:paraId="216730CC"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0EC7BD88"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Utility</w:t>
            </w:r>
          </w:p>
        </w:tc>
        <w:tc>
          <w:tcPr>
            <w:tcW w:w="615" w:type="pct"/>
            <w:shd w:val="clear" w:color="auto" w:fill="auto"/>
            <w:noWrap/>
            <w:vAlign w:val="bottom"/>
            <w:hideMark/>
          </w:tcPr>
          <w:p w14:paraId="1FBEBF75"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 </w:t>
            </w:r>
          </w:p>
        </w:tc>
        <w:tc>
          <w:tcPr>
            <w:tcW w:w="659" w:type="pct"/>
            <w:shd w:val="clear" w:color="auto" w:fill="auto"/>
            <w:noWrap/>
            <w:vAlign w:val="bottom"/>
            <w:hideMark/>
          </w:tcPr>
          <w:p w14:paraId="73C3B60E"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 </w:t>
            </w:r>
          </w:p>
        </w:tc>
        <w:tc>
          <w:tcPr>
            <w:tcW w:w="571" w:type="pct"/>
            <w:shd w:val="clear" w:color="auto" w:fill="auto"/>
            <w:noWrap/>
            <w:vAlign w:val="bottom"/>
            <w:hideMark/>
          </w:tcPr>
          <w:p w14:paraId="362C2D06"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 </w:t>
            </w:r>
          </w:p>
        </w:tc>
        <w:tc>
          <w:tcPr>
            <w:tcW w:w="574" w:type="pct"/>
            <w:shd w:val="clear" w:color="auto" w:fill="auto"/>
            <w:noWrap/>
            <w:vAlign w:val="bottom"/>
            <w:hideMark/>
          </w:tcPr>
          <w:p w14:paraId="57C8156C"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 </w:t>
            </w:r>
          </w:p>
        </w:tc>
      </w:tr>
      <w:tr w:rsidR="000C7CFC" w:rsidRPr="008B204E" w14:paraId="3450A246" w14:textId="77777777" w:rsidTr="00C47566">
        <w:trPr>
          <w:trHeight w:val="20"/>
        </w:trPr>
        <w:tc>
          <w:tcPr>
            <w:tcW w:w="255" w:type="pct"/>
            <w:shd w:val="clear" w:color="auto" w:fill="auto"/>
            <w:noWrap/>
            <w:vAlign w:val="bottom"/>
            <w:hideMark/>
          </w:tcPr>
          <w:p w14:paraId="12F0080D"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1D7196F8"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Hotel</w:t>
            </w:r>
          </w:p>
        </w:tc>
        <w:tc>
          <w:tcPr>
            <w:tcW w:w="615" w:type="pct"/>
            <w:shd w:val="clear" w:color="auto" w:fill="auto"/>
            <w:noWrap/>
            <w:vAlign w:val="bottom"/>
            <w:hideMark/>
          </w:tcPr>
          <w:p w14:paraId="29B95D1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9 </w:t>
            </w:r>
          </w:p>
        </w:tc>
        <w:tc>
          <w:tcPr>
            <w:tcW w:w="659" w:type="pct"/>
            <w:shd w:val="clear" w:color="auto" w:fill="auto"/>
            <w:noWrap/>
            <w:vAlign w:val="bottom"/>
            <w:hideMark/>
          </w:tcPr>
          <w:p w14:paraId="47343F2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w:t>
            </w:r>
          </w:p>
        </w:tc>
        <w:tc>
          <w:tcPr>
            <w:tcW w:w="571" w:type="pct"/>
            <w:shd w:val="clear" w:color="auto" w:fill="auto"/>
            <w:noWrap/>
            <w:vAlign w:val="bottom"/>
            <w:hideMark/>
          </w:tcPr>
          <w:p w14:paraId="3A66825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(4)</w:t>
            </w:r>
          </w:p>
        </w:tc>
        <w:tc>
          <w:tcPr>
            <w:tcW w:w="574" w:type="pct"/>
            <w:shd w:val="clear" w:color="auto" w:fill="auto"/>
            <w:noWrap/>
            <w:vAlign w:val="bottom"/>
            <w:hideMark/>
          </w:tcPr>
          <w:p w14:paraId="09A25983"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(3)</w:t>
            </w:r>
          </w:p>
        </w:tc>
      </w:tr>
      <w:tr w:rsidR="000C7CFC" w:rsidRPr="008B204E" w14:paraId="4DE5CBE2" w14:textId="77777777" w:rsidTr="00C47566">
        <w:trPr>
          <w:trHeight w:val="20"/>
        </w:trPr>
        <w:tc>
          <w:tcPr>
            <w:tcW w:w="255" w:type="pct"/>
            <w:shd w:val="clear" w:color="auto" w:fill="auto"/>
            <w:noWrap/>
            <w:vAlign w:val="bottom"/>
            <w:hideMark/>
          </w:tcPr>
          <w:p w14:paraId="146E2D4D"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61CC9C97"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Commercial Rent</w:t>
            </w:r>
          </w:p>
        </w:tc>
        <w:tc>
          <w:tcPr>
            <w:tcW w:w="615" w:type="pct"/>
            <w:shd w:val="clear" w:color="auto" w:fill="auto"/>
            <w:noWrap/>
            <w:vAlign w:val="bottom"/>
            <w:hideMark/>
          </w:tcPr>
          <w:p w14:paraId="01A040D9"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659" w:type="pct"/>
            <w:shd w:val="clear" w:color="auto" w:fill="auto"/>
            <w:noWrap/>
            <w:vAlign w:val="bottom"/>
            <w:hideMark/>
          </w:tcPr>
          <w:p w14:paraId="7BE47F33"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(32)</w:t>
            </w:r>
          </w:p>
        </w:tc>
        <w:tc>
          <w:tcPr>
            <w:tcW w:w="571" w:type="pct"/>
            <w:shd w:val="clear" w:color="auto" w:fill="auto"/>
            <w:noWrap/>
            <w:vAlign w:val="bottom"/>
            <w:hideMark/>
          </w:tcPr>
          <w:p w14:paraId="07F0B47A"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(44)</w:t>
            </w:r>
          </w:p>
        </w:tc>
        <w:tc>
          <w:tcPr>
            <w:tcW w:w="574" w:type="pct"/>
            <w:shd w:val="clear" w:color="auto" w:fill="auto"/>
            <w:noWrap/>
            <w:vAlign w:val="bottom"/>
            <w:hideMark/>
          </w:tcPr>
          <w:p w14:paraId="38486F6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(50)</w:t>
            </w:r>
          </w:p>
        </w:tc>
      </w:tr>
      <w:tr w:rsidR="000C7CFC" w:rsidRPr="008B204E" w14:paraId="31C9D9AC" w14:textId="77777777" w:rsidTr="00C47566">
        <w:trPr>
          <w:trHeight w:val="20"/>
        </w:trPr>
        <w:tc>
          <w:tcPr>
            <w:tcW w:w="255" w:type="pct"/>
            <w:shd w:val="clear" w:color="auto" w:fill="auto"/>
            <w:noWrap/>
            <w:vAlign w:val="bottom"/>
            <w:hideMark/>
          </w:tcPr>
          <w:p w14:paraId="03CB694F"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2D93A4C3"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 xml:space="preserve">Real </w:t>
            </w:r>
            <w:r w:rsidRPr="008B204E">
              <w:rPr>
                <w:rFonts w:eastAsia="Times New Roman" w:cs="Times New Roman"/>
                <w:sz w:val="20"/>
                <w:szCs w:val="20"/>
              </w:rPr>
              <w:t>Property</w:t>
            </w:r>
            <w:r w:rsidRPr="00184DF0">
              <w:rPr>
                <w:rFonts w:eastAsia="Times New Roman" w:cs="Times New Roman"/>
                <w:sz w:val="20"/>
                <w:szCs w:val="20"/>
              </w:rPr>
              <w:t xml:space="preserve"> Transfer</w:t>
            </w:r>
          </w:p>
        </w:tc>
        <w:tc>
          <w:tcPr>
            <w:tcW w:w="615" w:type="pct"/>
            <w:shd w:val="clear" w:color="auto" w:fill="auto"/>
            <w:noWrap/>
            <w:vAlign w:val="bottom"/>
            <w:hideMark/>
          </w:tcPr>
          <w:p w14:paraId="1424950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34 </w:t>
            </w:r>
          </w:p>
        </w:tc>
        <w:tc>
          <w:tcPr>
            <w:tcW w:w="659" w:type="pct"/>
            <w:shd w:val="clear" w:color="auto" w:fill="auto"/>
            <w:noWrap/>
            <w:vAlign w:val="bottom"/>
            <w:hideMark/>
          </w:tcPr>
          <w:p w14:paraId="5A74D167"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69 </w:t>
            </w:r>
          </w:p>
        </w:tc>
        <w:tc>
          <w:tcPr>
            <w:tcW w:w="571" w:type="pct"/>
            <w:shd w:val="clear" w:color="auto" w:fill="auto"/>
            <w:noWrap/>
            <w:vAlign w:val="bottom"/>
            <w:hideMark/>
          </w:tcPr>
          <w:p w14:paraId="4E92434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27 </w:t>
            </w:r>
          </w:p>
        </w:tc>
        <w:tc>
          <w:tcPr>
            <w:tcW w:w="574" w:type="pct"/>
            <w:shd w:val="clear" w:color="auto" w:fill="auto"/>
            <w:noWrap/>
            <w:vAlign w:val="bottom"/>
            <w:hideMark/>
          </w:tcPr>
          <w:p w14:paraId="5C2C7D25"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21 </w:t>
            </w:r>
          </w:p>
        </w:tc>
      </w:tr>
      <w:tr w:rsidR="000C7CFC" w:rsidRPr="008B204E" w14:paraId="7374FD9F" w14:textId="77777777" w:rsidTr="00C47566">
        <w:trPr>
          <w:trHeight w:val="20"/>
        </w:trPr>
        <w:tc>
          <w:tcPr>
            <w:tcW w:w="255" w:type="pct"/>
            <w:shd w:val="clear" w:color="auto" w:fill="auto"/>
            <w:noWrap/>
            <w:vAlign w:val="bottom"/>
            <w:hideMark/>
          </w:tcPr>
          <w:p w14:paraId="27B05E2C"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34198AC9"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Cigarette</w:t>
            </w:r>
          </w:p>
        </w:tc>
        <w:tc>
          <w:tcPr>
            <w:tcW w:w="615" w:type="pct"/>
            <w:shd w:val="clear" w:color="auto" w:fill="auto"/>
            <w:noWrap/>
            <w:vAlign w:val="bottom"/>
            <w:hideMark/>
          </w:tcPr>
          <w:p w14:paraId="52EE21D3"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(6)</w:t>
            </w:r>
          </w:p>
        </w:tc>
        <w:tc>
          <w:tcPr>
            <w:tcW w:w="659" w:type="pct"/>
            <w:shd w:val="clear" w:color="auto" w:fill="auto"/>
            <w:noWrap/>
            <w:vAlign w:val="bottom"/>
            <w:hideMark/>
          </w:tcPr>
          <w:p w14:paraId="14948F9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(6)</w:t>
            </w:r>
          </w:p>
        </w:tc>
        <w:tc>
          <w:tcPr>
            <w:tcW w:w="571" w:type="pct"/>
            <w:shd w:val="clear" w:color="auto" w:fill="auto"/>
            <w:noWrap/>
            <w:vAlign w:val="bottom"/>
            <w:hideMark/>
          </w:tcPr>
          <w:p w14:paraId="22548771"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(6)</w:t>
            </w:r>
          </w:p>
        </w:tc>
        <w:tc>
          <w:tcPr>
            <w:tcW w:w="574" w:type="pct"/>
            <w:shd w:val="clear" w:color="auto" w:fill="auto"/>
            <w:noWrap/>
            <w:vAlign w:val="bottom"/>
            <w:hideMark/>
          </w:tcPr>
          <w:p w14:paraId="1FDCC4C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(6)</w:t>
            </w:r>
          </w:p>
        </w:tc>
      </w:tr>
      <w:tr w:rsidR="000C7CFC" w:rsidRPr="008B204E" w14:paraId="20115690" w14:textId="77777777" w:rsidTr="00C47566">
        <w:trPr>
          <w:trHeight w:val="20"/>
        </w:trPr>
        <w:tc>
          <w:tcPr>
            <w:tcW w:w="255" w:type="pct"/>
            <w:shd w:val="clear" w:color="auto" w:fill="auto"/>
            <w:noWrap/>
            <w:vAlign w:val="bottom"/>
            <w:hideMark/>
          </w:tcPr>
          <w:p w14:paraId="6A32B0F9"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35BC362C"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All Other</w:t>
            </w:r>
          </w:p>
        </w:tc>
        <w:tc>
          <w:tcPr>
            <w:tcW w:w="615" w:type="pct"/>
            <w:shd w:val="clear" w:color="auto" w:fill="auto"/>
            <w:noWrap/>
            <w:vAlign w:val="bottom"/>
            <w:hideMark/>
          </w:tcPr>
          <w:p w14:paraId="1076F72D"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83 </w:t>
            </w:r>
          </w:p>
        </w:tc>
        <w:tc>
          <w:tcPr>
            <w:tcW w:w="659" w:type="pct"/>
            <w:shd w:val="clear" w:color="auto" w:fill="auto"/>
            <w:noWrap/>
            <w:vAlign w:val="bottom"/>
            <w:hideMark/>
          </w:tcPr>
          <w:p w14:paraId="3EF52DD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54 </w:t>
            </w:r>
          </w:p>
        </w:tc>
        <w:tc>
          <w:tcPr>
            <w:tcW w:w="571" w:type="pct"/>
            <w:shd w:val="clear" w:color="auto" w:fill="auto"/>
            <w:noWrap/>
            <w:vAlign w:val="bottom"/>
            <w:hideMark/>
          </w:tcPr>
          <w:p w14:paraId="5EEDAA83"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54 </w:t>
            </w:r>
          </w:p>
        </w:tc>
        <w:tc>
          <w:tcPr>
            <w:tcW w:w="574" w:type="pct"/>
            <w:shd w:val="clear" w:color="auto" w:fill="auto"/>
            <w:noWrap/>
            <w:vAlign w:val="bottom"/>
            <w:hideMark/>
          </w:tcPr>
          <w:p w14:paraId="5EB3500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54 </w:t>
            </w:r>
          </w:p>
        </w:tc>
      </w:tr>
      <w:tr w:rsidR="000C7CFC" w:rsidRPr="008B204E" w14:paraId="7FD8B455" w14:textId="77777777" w:rsidTr="00C47566">
        <w:trPr>
          <w:trHeight w:val="20"/>
        </w:trPr>
        <w:tc>
          <w:tcPr>
            <w:tcW w:w="255" w:type="pct"/>
            <w:shd w:val="clear" w:color="auto" w:fill="auto"/>
            <w:noWrap/>
            <w:vAlign w:val="bottom"/>
            <w:hideMark/>
          </w:tcPr>
          <w:p w14:paraId="54329320"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33431109"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Audit</w:t>
            </w:r>
          </w:p>
        </w:tc>
        <w:tc>
          <w:tcPr>
            <w:tcW w:w="615" w:type="pct"/>
            <w:shd w:val="clear" w:color="auto" w:fill="auto"/>
            <w:noWrap/>
            <w:vAlign w:val="bottom"/>
            <w:hideMark/>
          </w:tcPr>
          <w:p w14:paraId="2EF15B0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449 </w:t>
            </w:r>
          </w:p>
        </w:tc>
        <w:tc>
          <w:tcPr>
            <w:tcW w:w="659" w:type="pct"/>
            <w:shd w:val="clear" w:color="auto" w:fill="auto"/>
            <w:noWrap/>
            <w:vAlign w:val="bottom"/>
            <w:hideMark/>
          </w:tcPr>
          <w:p w14:paraId="7C3D6CA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335 </w:t>
            </w:r>
          </w:p>
        </w:tc>
        <w:tc>
          <w:tcPr>
            <w:tcW w:w="571" w:type="pct"/>
            <w:shd w:val="clear" w:color="auto" w:fill="auto"/>
            <w:noWrap/>
            <w:vAlign w:val="bottom"/>
            <w:hideMark/>
          </w:tcPr>
          <w:p w14:paraId="5B7D8E4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4" w:type="pct"/>
            <w:shd w:val="clear" w:color="auto" w:fill="auto"/>
            <w:noWrap/>
            <w:vAlign w:val="bottom"/>
            <w:hideMark/>
          </w:tcPr>
          <w:p w14:paraId="7AC8AE6E"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r>
      <w:tr w:rsidR="000C7CFC" w:rsidRPr="008B204E" w14:paraId="54773AEF" w14:textId="77777777" w:rsidTr="00C47566">
        <w:trPr>
          <w:trHeight w:val="20"/>
        </w:trPr>
        <w:tc>
          <w:tcPr>
            <w:tcW w:w="255" w:type="pct"/>
            <w:shd w:val="clear" w:color="auto" w:fill="auto"/>
            <w:noWrap/>
            <w:vAlign w:val="bottom"/>
            <w:hideMark/>
          </w:tcPr>
          <w:p w14:paraId="378B232E"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6FD170C1"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Tax Program</w:t>
            </w:r>
          </w:p>
        </w:tc>
        <w:tc>
          <w:tcPr>
            <w:tcW w:w="615" w:type="pct"/>
            <w:shd w:val="clear" w:color="auto" w:fill="auto"/>
            <w:noWrap/>
            <w:vAlign w:val="bottom"/>
            <w:hideMark/>
          </w:tcPr>
          <w:p w14:paraId="50DF7C2C"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659" w:type="pct"/>
            <w:shd w:val="clear" w:color="auto" w:fill="auto"/>
            <w:noWrap/>
            <w:vAlign w:val="bottom"/>
            <w:hideMark/>
          </w:tcPr>
          <w:p w14:paraId="28AB78B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1" w:type="pct"/>
            <w:shd w:val="clear" w:color="auto" w:fill="auto"/>
            <w:noWrap/>
            <w:vAlign w:val="bottom"/>
            <w:hideMark/>
          </w:tcPr>
          <w:p w14:paraId="5543621E"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4" w:type="pct"/>
            <w:shd w:val="clear" w:color="auto" w:fill="auto"/>
            <w:noWrap/>
            <w:vAlign w:val="bottom"/>
            <w:hideMark/>
          </w:tcPr>
          <w:p w14:paraId="1517FDF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r>
      <w:tr w:rsidR="000C7CFC" w:rsidRPr="008B204E" w14:paraId="014F39B4" w14:textId="77777777" w:rsidTr="00C47566">
        <w:trPr>
          <w:trHeight w:val="20"/>
        </w:trPr>
        <w:tc>
          <w:tcPr>
            <w:tcW w:w="255" w:type="pct"/>
            <w:shd w:val="clear" w:color="auto" w:fill="auto"/>
            <w:noWrap/>
            <w:vAlign w:val="bottom"/>
            <w:hideMark/>
          </w:tcPr>
          <w:p w14:paraId="7D1CB7DD"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51C69FB5"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STAR</w:t>
            </w:r>
          </w:p>
        </w:tc>
        <w:tc>
          <w:tcPr>
            <w:tcW w:w="615" w:type="pct"/>
            <w:tcBorders>
              <w:bottom w:val="single" w:sz="4" w:space="0" w:color="auto"/>
            </w:tcBorders>
            <w:shd w:val="clear" w:color="auto" w:fill="auto"/>
            <w:noWrap/>
            <w:vAlign w:val="bottom"/>
            <w:hideMark/>
          </w:tcPr>
          <w:p w14:paraId="4BE9B77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(13)</w:t>
            </w:r>
          </w:p>
        </w:tc>
        <w:tc>
          <w:tcPr>
            <w:tcW w:w="659" w:type="pct"/>
            <w:tcBorders>
              <w:bottom w:val="single" w:sz="4" w:space="0" w:color="auto"/>
            </w:tcBorders>
            <w:shd w:val="clear" w:color="auto" w:fill="auto"/>
            <w:noWrap/>
            <w:vAlign w:val="bottom"/>
            <w:hideMark/>
          </w:tcPr>
          <w:p w14:paraId="60316DA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(15)</w:t>
            </w:r>
          </w:p>
        </w:tc>
        <w:tc>
          <w:tcPr>
            <w:tcW w:w="571" w:type="pct"/>
            <w:tcBorders>
              <w:bottom w:val="single" w:sz="4" w:space="0" w:color="auto"/>
            </w:tcBorders>
            <w:shd w:val="clear" w:color="auto" w:fill="auto"/>
            <w:noWrap/>
            <w:vAlign w:val="bottom"/>
            <w:hideMark/>
          </w:tcPr>
          <w:p w14:paraId="6349B7A7"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(16)</w:t>
            </w:r>
          </w:p>
        </w:tc>
        <w:tc>
          <w:tcPr>
            <w:tcW w:w="574" w:type="pct"/>
            <w:tcBorders>
              <w:bottom w:val="single" w:sz="4" w:space="0" w:color="auto"/>
            </w:tcBorders>
            <w:shd w:val="clear" w:color="auto" w:fill="auto"/>
            <w:noWrap/>
            <w:vAlign w:val="bottom"/>
            <w:hideMark/>
          </w:tcPr>
          <w:p w14:paraId="1E175CC8"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(16)</w:t>
            </w:r>
          </w:p>
        </w:tc>
      </w:tr>
      <w:tr w:rsidR="000C7CFC" w:rsidRPr="008B204E" w14:paraId="0EBE37CA" w14:textId="77777777" w:rsidTr="00C47566">
        <w:trPr>
          <w:trHeight w:val="20"/>
        </w:trPr>
        <w:tc>
          <w:tcPr>
            <w:tcW w:w="2581" w:type="pct"/>
            <w:gridSpan w:val="2"/>
            <w:shd w:val="clear" w:color="auto" w:fill="auto"/>
            <w:noWrap/>
            <w:vAlign w:val="bottom"/>
            <w:hideMark/>
          </w:tcPr>
          <w:p w14:paraId="57656816"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Total Taxes</w:t>
            </w:r>
          </w:p>
        </w:tc>
        <w:tc>
          <w:tcPr>
            <w:tcW w:w="615" w:type="pct"/>
            <w:tcBorders>
              <w:top w:val="single" w:sz="4" w:space="0" w:color="auto"/>
            </w:tcBorders>
            <w:shd w:val="clear" w:color="auto" w:fill="auto"/>
            <w:noWrap/>
            <w:vAlign w:val="bottom"/>
            <w:hideMark/>
          </w:tcPr>
          <w:p w14:paraId="6856E896"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$701 </w:t>
            </w:r>
          </w:p>
        </w:tc>
        <w:tc>
          <w:tcPr>
            <w:tcW w:w="659" w:type="pct"/>
            <w:tcBorders>
              <w:top w:val="single" w:sz="4" w:space="0" w:color="auto"/>
            </w:tcBorders>
            <w:shd w:val="clear" w:color="auto" w:fill="auto"/>
            <w:noWrap/>
            <w:vAlign w:val="bottom"/>
            <w:hideMark/>
          </w:tcPr>
          <w:p w14:paraId="6925AA91"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$493 </w:t>
            </w:r>
          </w:p>
        </w:tc>
        <w:tc>
          <w:tcPr>
            <w:tcW w:w="571" w:type="pct"/>
            <w:tcBorders>
              <w:top w:val="single" w:sz="4" w:space="0" w:color="auto"/>
            </w:tcBorders>
            <w:shd w:val="clear" w:color="auto" w:fill="auto"/>
            <w:noWrap/>
            <w:vAlign w:val="bottom"/>
            <w:hideMark/>
          </w:tcPr>
          <w:p w14:paraId="650D61FA"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$138 </w:t>
            </w:r>
          </w:p>
        </w:tc>
        <w:tc>
          <w:tcPr>
            <w:tcW w:w="574" w:type="pct"/>
            <w:tcBorders>
              <w:top w:val="single" w:sz="4" w:space="0" w:color="auto"/>
            </w:tcBorders>
            <w:shd w:val="clear" w:color="auto" w:fill="auto"/>
            <w:noWrap/>
            <w:vAlign w:val="bottom"/>
            <w:hideMark/>
          </w:tcPr>
          <w:p w14:paraId="4D74A3D6"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$145 </w:t>
            </w:r>
          </w:p>
        </w:tc>
      </w:tr>
      <w:tr w:rsidR="000C7CFC" w:rsidRPr="008B204E" w14:paraId="5E0927DD" w14:textId="77777777" w:rsidTr="00C47566">
        <w:trPr>
          <w:trHeight w:val="20"/>
        </w:trPr>
        <w:tc>
          <w:tcPr>
            <w:tcW w:w="255" w:type="pct"/>
            <w:shd w:val="clear" w:color="auto" w:fill="auto"/>
            <w:noWrap/>
            <w:vAlign w:val="bottom"/>
            <w:hideMark/>
          </w:tcPr>
          <w:p w14:paraId="326EFB34" w14:textId="77777777" w:rsidR="000C7CFC" w:rsidRPr="00184DF0" w:rsidRDefault="000C7CFC" w:rsidP="000C7CFC">
            <w:pPr>
              <w:spacing w:after="0"/>
              <w:jc w:val="right"/>
              <w:rPr>
                <w:rFonts w:eastAsia="Times New Roman" w:cs="Times New Roman"/>
                <w:b/>
                <w:bCs/>
                <w:color w:val="000000"/>
                <w:sz w:val="20"/>
                <w:szCs w:val="20"/>
              </w:rPr>
            </w:pPr>
          </w:p>
        </w:tc>
        <w:tc>
          <w:tcPr>
            <w:tcW w:w="2326" w:type="pct"/>
            <w:shd w:val="clear" w:color="auto" w:fill="auto"/>
            <w:noWrap/>
            <w:vAlign w:val="bottom"/>
            <w:hideMark/>
          </w:tcPr>
          <w:p w14:paraId="66A7C3EB" w14:textId="77777777" w:rsidR="000C7CFC" w:rsidRPr="00184DF0" w:rsidRDefault="000C7CFC" w:rsidP="000C7CFC">
            <w:pPr>
              <w:spacing w:after="0"/>
              <w:rPr>
                <w:rFonts w:eastAsia="Times New Roman" w:cs="Times New Roman"/>
                <w:sz w:val="20"/>
                <w:szCs w:val="20"/>
              </w:rPr>
            </w:pPr>
          </w:p>
        </w:tc>
        <w:tc>
          <w:tcPr>
            <w:tcW w:w="615" w:type="pct"/>
            <w:shd w:val="clear" w:color="auto" w:fill="auto"/>
            <w:noWrap/>
            <w:vAlign w:val="bottom"/>
            <w:hideMark/>
          </w:tcPr>
          <w:p w14:paraId="4D13F9E5" w14:textId="77777777" w:rsidR="000C7CFC" w:rsidRPr="00184DF0" w:rsidRDefault="000C7CFC" w:rsidP="000C7CFC">
            <w:pPr>
              <w:spacing w:after="0"/>
              <w:rPr>
                <w:rFonts w:eastAsia="Times New Roman" w:cs="Times New Roman"/>
                <w:sz w:val="20"/>
                <w:szCs w:val="20"/>
              </w:rPr>
            </w:pPr>
          </w:p>
        </w:tc>
        <w:tc>
          <w:tcPr>
            <w:tcW w:w="659" w:type="pct"/>
            <w:shd w:val="clear" w:color="auto" w:fill="auto"/>
            <w:noWrap/>
            <w:vAlign w:val="bottom"/>
            <w:hideMark/>
          </w:tcPr>
          <w:p w14:paraId="126692C5" w14:textId="77777777" w:rsidR="000C7CFC" w:rsidRPr="00184DF0" w:rsidRDefault="000C7CFC" w:rsidP="000C7CFC">
            <w:pPr>
              <w:spacing w:after="0"/>
              <w:rPr>
                <w:rFonts w:eastAsia="Times New Roman" w:cs="Times New Roman"/>
                <w:sz w:val="20"/>
                <w:szCs w:val="20"/>
              </w:rPr>
            </w:pPr>
          </w:p>
        </w:tc>
        <w:tc>
          <w:tcPr>
            <w:tcW w:w="571" w:type="pct"/>
            <w:shd w:val="clear" w:color="auto" w:fill="auto"/>
            <w:noWrap/>
            <w:vAlign w:val="bottom"/>
            <w:hideMark/>
          </w:tcPr>
          <w:p w14:paraId="04195B79" w14:textId="77777777" w:rsidR="000C7CFC" w:rsidRPr="00184DF0" w:rsidRDefault="000C7CFC" w:rsidP="000C7CFC">
            <w:pPr>
              <w:spacing w:after="0"/>
              <w:rPr>
                <w:rFonts w:eastAsia="Times New Roman" w:cs="Times New Roman"/>
                <w:sz w:val="20"/>
                <w:szCs w:val="20"/>
              </w:rPr>
            </w:pPr>
          </w:p>
        </w:tc>
        <w:tc>
          <w:tcPr>
            <w:tcW w:w="574" w:type="pct"/>
            <w:shd w:val="clear" w:color="auto" w:fill="auto"/>
            <w:noWrap/>
            <w:vAlign w:val="bottom"/>
            <w:hideMark/>
          </w:tcPr>
          <w:p w14:paraId="5BD6E482" w14:textId="77777777" w:rsidR="000C7CFC" w:rsidRPr="00184DF0" w:rsidRDefault="000C7CFC" w:rsidP="000C7CFC">
            <w:pPr>
              <w:spacing w:after="0"/>
              <w:rPr>
                <w:rFonts w:eastAsia="Times New Roman" w:cs="Times New Roman"/>
                <w:sz w:val="20"/>
                <w:szCs w:val="20"/>
              </w:rPr>
            </w:pPr>
          </w:p>
        </w:tc>
      </w:tr>
      <w:tr w:rsidR="000C7CFC" w:rsidRPr="008B204E" w14:paraId="001150CF" w14:textId="77777777" w:rsidTr="00C47566">
        <w:trPr>
          <w:trHeight w:val="20"/>
        </w:trPr>
        <w:tc>
          <w:tcPr>
            <w:tcW w:w="2581" w:type="pct"/>
            <w:gridSpan w:val="2"/>
            <w:shd w:val="clear" w:color="auto" w:fill="auto"/>
            <w:noWrap/>
            <w:vAlign w:val="bottom"/>
            <w:hideMark/>
          </w:tcPr>
          <w:p w14:paraId="204B44EB"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Federal Categorical Grants</w:t>
            </w:r>
          </w:p>
        </w:tc>
        <w:tc>
          <w:tcPr>
            <w:tcW w:w="615" w:type="pct"/>
            <w:shd w:val="clear" w:color="auto" w:fill="auto"/>
            <w:noWrap/>
            <w:vAlign w:val="bottom"/>
            <w:hideMark/>
          </w:tcPr>
          <w:p w14:paraId="029FB9FA"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$701 </w:t>
            </w:r>
          </w:p>
        </w:tc>
        <w:tc>
          <w:tcPr>
            <w:tcW w:w="659" w:type="pct"/>
            <w:shd w:val="clear" w:color="auto" w:fill="auto"/>
            <w:noWrap/>
            <w:vAlign w:val="bottom"/>
            <w:hideMark/>
          </w:tcPr>
          <w:p w14:paraId="44AE4DB0"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$132 </w:t>
            </w:r>
          </w:p>
        </w:tc>
        <w:tc>
          <w:tcPr>
            <w:tcW w:w="571" w:type="pct"/>
            <w:shd w:val="clear" w:color="auto" w:fill="auto"/>
            <w:noWrap/>
            <w:vAlign w:val="bottom"/>
            <w:hideMark/>
          </w:tcPr>
          <w:p w14:paraId="6DE736AC"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$46 </w:t>
            </w:r>
          </w:p>
        </w:tc>
        <w:tc>
          <w:tcPr>
            <w:tcW w:w="574" w:type="pct"/>
            <w:shd w:val="clear" w:color="auto" w:fill="auto"/>
            <w:noWrap/>
            <w:vAlign w:val="bottom"/>
            <w:hideMark/>
          </w:tcPr>
          <w:p w14:paraId="5A295E3E"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$40</w:t>
            </w:r>
          </w:p>
        </w:tc>
      </w:tr>
      <w:tr w:rsidR="000C7CFC" w:rsidRPr="008B204E" w14:paraId="29796D84" w14:textId="77777777" w:rsidTr="00C47566">
        <w:trPr>
          <w:trHeight w:val="20"/>
        </w:trPr>
        <w:tc>
          <w:tcPr>
            <w:tcW w:w="2581" w:type="pct"/>
            <w:gridSpan w:val="2"/>
            <w:shd w:val="clear" w:color="auto" w:fill="auto"/>
            <w:noWrap/>
            <w:vAlign w:val="bottom"/>
            <w:hideMark/>
          </w:tcPr>
          <w:p w14:paraId="3355D856"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State Categorical Grants</w:t>
            </w:r>
          </w:p>
        </w:tc>
        <w:tc>
          <w:tcPr>
            <w:tcW w:w="615" w:type="pct"/>
            <w:shd w:val="clear" w:color="auto" w:fill="auto"/>
            <w:noWrap/>
            <w:vAlign w:val="bottom"/>
            <w:hideMark/>
          </w:tcPr>
          <w:p w14:paraId="7F592B7D"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$109 </w:t>
            </w:r>
          </w:p>
        </w:tc>
        <w:tc>
          <w:tcPr>
            <w:tcW w:w="659" w:type="pct"/>
            <w:shd w:val="clear" w:color="auto" w:fill="auto"/>
            <w:noWrap/>
            <w:vAlign w:val="bottom"/>
            <w:hideMark/>
          </w:tcPr>
          <w:p w14:paraId="1AE6567E"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$74 </w:t>
            </w:r>
          </w:p>
        </w:tc>
        <w:tc>
          <w:tcPr>
            <w:tcW w:w="571" w:type="pct"/>
            <w:shd w:val="clear" w:color="auto" w:fill="auto"/>
            <w:noWrap/>
            <w:vAlign w:val="bottom"/>
            <w:hideMark/>
          </w:tcPr>
          <w:p w14:paraId="1190F1D3"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$56 </w:t>
            </w:r>
          </w:p>
        </w:tc>
        <w:tc>
          <w:tcPr>
            <w:tcW w:w="574" w:type="pct"/>
            <w:shd w:val="clear" w:color="auto" w:fill="auto"/>
            <w:noWrap/>
            <w:vAlign w:val="bottom"/>
            <w:hideMark/>
          </w:tcPr>
          <w:p w14:paraId="0099DB29"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$49</w:t>
            </w:r>
          </w:p>
        </w:tc>
      </w:tr>
      <w:tr w:rsidR="000C7CFC" w:rsidRPr="008B204E" w14:paraId="73F9CB62" w14:textId="77777777" w:rsidTr="00C47566">
        <w:trPr>
          <w:trHeight w:val="20"/>
        </w:trPr>
        <w:tc>
          <w:tcPr>
            <w:tcW w:w="2581" w:type="pct"/>
            <w:gridSpan w:val="2"/>
            <w:shd w:val="clear" w:color="auto" w:fill="auto"/>
            <w:noWrap/>
            <w:vAlign w:val="bottom"/>
            <w:hideMark/>
          </w:tcPr>
          <w:p w14:paraId="326B2E95"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Non-Governmental Grants (Other Cat.)</w:t>
            </w:r>
          </w:p>
        </w:tc>
        <w:tc>
          <w:tcPr>
            <w:tcW w:w="615" w:type="pct"/>
            <w:shd w:val="clear" w:color="auto" w:fill="auto"/>
            <w:noWrap/>
            <w:vAlign w:val="bottom"/>
            <w:hideMark/>
          </w:tcPr>
          <w:p w14:paraId="54E6D000"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$77 </w:t>
            </w:r>
          </w:p>
        </w:tc>
        <w:tc>
          <w:tcPr>
            <w:tcW w:w="659" w:type="pct"/>
            <w:shd w:val="clear" w:color="auto" w:fill="auto"/>
            <w:noWrap/>
            <w:vAlign w:val="bottom"/>
            <w:hideMark/>
          </w:tcPr>
          <w:p w14:paraId="35C6653B"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$3 </w:t>
            </w:r>
          </w:p>
        </w:tc>
        <w:tc>
          <w:tcPr>
            <w:tcW w:w="571" w:type="pct"/>
            <w:shd w:val="clear" w:color="auto" w:fill="auto"/>
            <w:noWrap/>
            <w:vAlign w:val="bottom"/>
            <w:hideMark/>
          </w:tcPr>
          <w:p w14:paraId="172666B2"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$2 </w:t>
            </w:r>
          </w:p>
        </w:tc>
        <w:tc>
          <w:tcPr>
            <w:tcW w:w="574" w:type="pct"/>
            <w:shd w:val="clear" w:color="auto" w:fill="auto"/>
            <w:noWrap/>
            <w:vAlign w:val="bottom"/>
            <w:hideMark/>
          </w:tcPr>
          <w:p w14:paraId="373E8179"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$1</w:t>
            </w:r>
          </w:p>
        </w:tc>
      </w:tr>
      <w:tr w:rsidR="000C7CFC" w:rsidRPr="008B204E" w14:paraId="050643AD" w14:textId="77777777" w:rsidTr="00C47566">
        <w:trPr>
          <w:trHeight w:val="20"/>
        </w:trPr>
        <w:tc>
          <w:tcPr>
            <w:tcW w:w="2581" w:type="pct"/>
            <w:gridSpan w:val="2"/>
            <w:shd w:val="clear" w:color="auto" w:fill="auto"/>
            <w:noWrap/>
            <w:vAlign w:val="bottom"/>
            <w:hideMark/>
          </w:tcPr>
          <w:p w14:paraId="50FC52EE" w14:textId="6880476D"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Unrest. / A</w:t>
            </w:r>
            <w:r w:rsidR="00975498">
              <w:rPr>
                <w:rFonts w:eastAsia="Times New Roman" w:cs="Times New Roman"/>
                <w:b/>
                <w:bCs/>
                <w:sz w:val="20"/>
                <w:szCs w:val="20"/>
              </w:rPr>
              <w:t>nticipated State &amp; Federal Aid</w:t>
            </w:r>
          </w:p>
        </w:tc>
        <w:tc>
          <w:tcPr>
            <w:tcW w:w="615" w:type="pct"/>
            <w:shd w:val="clear" w:color="auto" w:fill="auto"/>
            <w:noWrap/>
            <w:vAlign w:val="bottom"/>
            <w:hideMark/>
          </w:tcPr>
          <w:p w14:paraId="7B0656B0"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$0 </w:t>
            </w:r>
          </w:p>
        </w:tc>
        <w:tc>
          <w:tcPr>
            <w:tcW w:w="659" w:type="pct"/>
            <w:shd w:val="clear" w:color="auto" w:fill="auto"/>
            <w:noWrap/>
            <w:vAlign w:val="bottom"/>
            <w:hideMark/>
          </w:tcPr>
          <w:p w14:paraId="3D38A329"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$0 </w:t>
            </w:r>
          </w:p>
        </w:tc>
        <w:tc>
          <w:tcPr>
            <w:tcW w:w="571" w:type="pct"/>
            <w:shd w:val="clear" w:color="auto" w:fill="auto"/>
            <w:noWrap/>
            <w:vAlign w:val="bottom"/>
            <w:hideMark/>
          </w:tcPr>
          <w:p w14:paraId="40D8343C"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 xml:space="preserve">$0 </w:t>
            </w:r>
          </w:p>
        </w:tc>
        <w:tc>
          <w:tcPr>
            <w:tcW w:w="574" w:type="pct"/>
            <w:shd w:val="clear" w:color="auto" w:fill="auto"/>
            <w:noWrap/>
            <w:vAlign w:val="bottom"/>
            <w:hideMark/>
          </w:tcPr>
          <w:p w14:paraId="4158C18E" w14:textId="77777777" w:rsidR="000C7CFC" w:rsidRPr="00CF6F9D" w:rsidRDefault="000C7CFC" w:rsidP="000C7CFC">
            <w:pPr>
              <w:spacing w:after="0"/>
              <w:jc w:val="right"/>
              <w:rPr>
                <w:rFonts w:eastAsia="Times New Roman" w:cs="Times New Roman"/>
                <w:b/>
                <w:color w:val="000000"/>
                <w:sz w:val="20"/>
                <w:szCs w:val="20"/>
              </w:rPr>
            </w:pPr>
            <w:r w:rsidRPr="00CF6F9D">
              <w:rPr>
                <w:rFonts w:eastAsia="Times New Roman" w:cs="Times New Roman"/>
                <w:b/>
                <w:color w:val="000000"/>
                <w:sz w:val="20"/>
                <w:szCs w:val="20"/>
              </w:rPr>
              <w:t>$0</w:t>
            </w:r>
          </w:p>
        </w:tc>
      </w:tr>
      <w:tr w:rsidR="000C7CFC" w:rsidRPr="008B204E" w14:paraId="628037F7" w14:textId="77777777" w:rsidTr="00C47566">
        <w:trPr>
          <w:trHeight w:val="20"/>
        </w:trPr>
        <w:tc>
          <w:tcPr>
            <w:tcW w:w="255" w:type="pct"/>
            <w:shd w:val="clear" w:color="auto" w:fill="auto"/>
            <w:noWrap/>
            <w:vAlign w:val="bottom"/>
            <w:hideMark/>
          </w:tcPr>
          <w:p w14:paraId="5C5EE437"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3F65FDCD" w14:textId="77777777" w:rsidR="000C7CFC" w:rsidRPr="00184DF0" w:rsidRDefault="000C7CFC" w:rsidP="000C7CFC">
            <w:pPr>
              <w:spacing w:after="0"/>
              <w:rPr>
                <w:rFonts w:eastAsia="Times New Roman" w:cs="Times New Roman"/>
                <w:sz w:val="20"/>
                <w:szCs w:val="20"/>
              </w:rPr>
            </w:pPr>
          </w:p>
        </w:tc>
        <w:tc>
          <w:tcPr>
            <w:tcW w:w="615" w:type="pct"/>
            <w:shd w:val="clear" w:color="auto" w:fill="auto"/>
            <w:noWrap/>
            <w:vAlign w:val="bottom"/>
            <w:hideMark/>
          </w:tcPr>
          <w:p w14:paraId="46C689EC" w14:textId="77777777" w:rsidR="000C7CFC" w:rsidRPr="00184DF0" w:rsidRDefault="000C7CFC" w:rsidP="000C7CFC">
            <w:pPr>
              <w:spacing w:after="0"/>
              <w:rPr>
                <w:rFonts w:eastAsia="Times New Roman" w:cs="Times New Roman"/>
                <w:sz w:val="20"/>
                <w:szCs w:val="20"/>
              </w:rPr>
            </w:pPr>
          </w:p>
        </w:tc>
        <w:tc>
          <w:tcPr>
            <w:tcW w:w="659" w:type="pct"/>
            <w:shd w:val="clear" w:color="auto" w:fill="auto"/>
            <w:noWrap/>
            <w:vAlign w:val="bottom"/>
            <w:hideMark/>
          </w:tcPr>
          <w:p w14:paraId="49A60484" w14:textId="77777777" w:rsidR="000C7CFC" w:rsidRPr="00184DF0" w:rsidRDefault="000C7CFC" w:rsidP="000C7CFC">
            <w:pPr>
              <w:spacing w:after="0"/>
              <w:rPr>
                <w:rFonts w:eastAsia="Times New Roman" w:cs="Times New Roman"/>
                <w:sz w:val="20"/>
                <w:szCs w:val="20"/>
              </w:rPr>
            </w:pPr>
          </w:p>
        </w:tc>
        <w:tc>
          <w:tcPr>
            <w:tcW w:w="571" w:type="pct"/>
            <w:shd w:val="clear" w:color="auto" w:fill="auto"/>
            <w:noWrap/>
            <w:vAlign w:val="bottom"/>
            <w:hideMark/>
          </w:tcPr>
          <w:p w14:paraId="0108175F" w14:textId="77777777" w:rsidR="000C7CFC" w:rsidRPr="00184DF0" w:rsidRDefault="000C7CFC" w:rsidP="000C7CFC">
            <w:pPr>
              <w:spacing w:after="0"/>
              <w:rPr>
                <w:rFonts w:eastAsia="Times New Roman" w:cs="Times New Roman"/>
                <w:sz w:val="20"/>
                <w:szCs w:val="20"/>
              </w:rPr>
            </w:pPr>
          </w:p>
        </w:tc>
        <w:tc>
          <w:tcPr>
            <w:tcW w:w="574" w:type="pct"/>
            <w:shd w:val="clear" w:color="auto" w:fill="auto"/>
            <w:noWrap/>
            <w:vAlign w:val="bottom"/>
            <w:hideMark/>
          </w:tcPr>
          <w:p w14:paraId="2E753BB4" w14:textId="77777777" w:rsidR="000C7CFC" w:rsidRPr="00184DF0" w:rsidRDefault="000C7CFC" w:rsidP="000C7CFC">
            <w:pPr>
              <w:spacing w:after="0"/>
              <w:rPr>
                <w:rFonts w:eastAsia="Times New Roman" w:cs="Times New Roman"/>
                <w:sz w:val="20"/>
                <w:szCs w:val="20"/>
              </w:rPr>
            </w:pPr>
          </w:p>
        </w:tc>
      </w:tr>
      <w:tr w:rsidR="000C7CFC" w:rsidRPr="008B204E" w14:paraId="699D8EB5" w14:textId="77777777" w:rsidTr="00C47566">
        <w:trPr>
          <w:trHeight w:val="20"/>
        </w:trPr>
        <w:tc>
          <w:tcPr>
            <w:tcW w:w="2581" w:type="pct"/>
            <w:gridSpan w:val="2"/>
            <w:shd w:val="clear" w:color="auto" w:fill="auto"/>
            <w:noWrap/>
            <w:vAlign w:val="bottom"/>
            <w:hideMark/>
          </w:tcPr>
          <w:p w14:paraId="6BEFE052"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Miscellaneous Revenue</w:t>
            </w:r>
          </w:p>
        </w:tc>
        <w:tc>
          <w:tcPr>
            <w:tcW w:w="615" w:type="pct"/>
            <w:shd w:val="clear" w:color="auto" w:fill="auto"/>
            <w:noWrap/>
            <w:vAlign w:val="bottom"/>
            <w:hideMark/>
          </w:tcPr>
          <w:p w14:paraId="6C7DAD5C" w14:textId="77777777" w:rsidR="000C7CFC" w:rsidRPr="00184DF0" w:rsidRDefault="000C7CFC" w:rsidP="000C7CFC">
            <w:pPr>
              <w:spacing w:after="0"/>
              <w:rPr>
                <w:rFonts w:eastAsia="Times New Roman" w:cs="Times New Roman"/>
                <w:b/>
                <w:bCs/>
                <w:sz w:val="20"/>
                <w:szCs w:val="20"/>
              </w:rPr>
            </w:pPr>
          </w:p>
        </w:tc>
        <w:tc>
          <w:tcPr>
            <w:tcW w:w="659" w:type="pct"/>
            <w:shd w:val="clear" w:color="auto" w:fill="auto"/>
            <w:noWrap/>
            <w:vAlign w:val="bottom"/>
            <w:hideMark/>
          </w:tcPr>
          <w:p w14:paraId="2C70A121" w14:textId="77777777" w:rsidR="000C7CFC" w:rsidRPr="00184DF0" w:rsidRDefault="000C7CFC" w:rsidP="000C7CFC">
            <w:pPr>
              <w:spacing w:after="0"/>
              <w:rPr>
                <w:rFonts w:eastAsia="Times New Roman" w:cs="Times New Roman"/>
                <w:sz w:val="20"/>
                <w:szCs w:val="20"/>
              </w:rPr>
            </w:pPr>
          </w:p>
        </w:tc>
        <w:tc>
          <w:tcPr>
            <w:tcW w:w="571" w:type="pct"/>
            <w:shd w:val="clear" w:color="auto" w:fill="auto"/>
            <w:noWrap/>
            <w:vAlign w:val="bottom"/>
            <w:hideMark/>
          </w:tcPr>
          <w:p w14:paraId="77E22875" w14:textId="77777777" w:rsidR="000C7CFC" w:rsidRPr="00184DF0" w:rsidRDefault="000C7CFC" w:rsidP="000C7CFC">
            <w:pPr>
              <w:spacing w:after="0"/>
              <w:rPr>
                <w:rFonts w:eastAsia="Times New Roman" w:cs="Times New Roman"/>
                <w:sz w:val="20"/>
                <w:szCs w:val="20"/>
              </w:rPr>
            </w:pPr>
          </w:p>
        </w:tc>
        <w:tc>
          <w:tcPr>
            <w:tcW w:w="574" w:type="pct"/>
            <w:shd w:val="clear" w:color="auto" w:fill="auto"/>
            <w:noWrap/>
            <w:vAlign w:val="bottom"/>
            <w:hideMark/>
          </w:tcPr>
          <w:p w14:paraId="3A36F68F" w14:textId="77777777" w:rsidR="000C7CFC" w:rsidRPr="00184DF0" w:rsidRDefault="000C7CFC" w:rsidP="000C7CFC">
            <w:pPr>
              <w:spacing w:after="0"/>
              <w:rPr>
                <w:rFonts w:eastAsia="Times New Roman" w:cs="Times New Roman"/>
                <w:sz w:val="20"/>
                <w:szCs w:val="20"/>
              </w:rPr>
            </w:pPr>
          </w:p>
        </w:tc>
      </w:tr>
      <w:tr w:rsidR="000C7CFC" w:rsidRPr="008B204E" w14:paraId="1A2C10AA" w14:textId="77777777" w:rsidTr="00C47566">
        <w:trPr>
          <w:trHeight w:val="20"/>
        </w:trPr>
        <w:tc>
          <w:tcPr>
            <w:tcW w:w="255" w:type="pct"/>
            <w:shd w:val="clear" w:color="auto" w:fill="auto"/>
            <w:noWrap/>
            <w:vAlign w:val="bottom"/>
            <w:hideMark/>
          </w:tcPr>
          <w:p w14:paraId="5C78AFE3" w14:textId="77777777" w:rsidR="000C7CFC" w:rsidRPr="00184DF0" w:rsidRDefault="000C7CFC" w:rsidP="000C7CFC">
            <w:pPr>
              <w:spacing w:after="0"/>
              <w:rPr>
                <w:rFonts w:eastAsia="Times New Roman" w:cs="Times New Roman"/>
                <w:sz w:val="20"/>
                <w:szCs w:val="20"/>
              </w:rPr>
            </w:pPr>
          </w:p>
        </w:tc>
        <w:tc>
          <w:tcPr>
            <w:tcW w:w="2326" w:type="pct"/>
            <w:shd w:val="clear" w:color="auto" w:fill="auto"/>
            <w:noWrap/>
            <w:vAlign w:val="bottom"/>
            <w:hideMark/>
          </w:tcPr>
          <w:p w14:paraId="1D007427"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Charges for Services</w:t>
            </w:r>
          </w:p>
        </w:tc>
        <w:tc>
          <w:tcPr>
            <w:tcW w:w="615" w:type="pct"/>
            <w:shd w:val="clear" w:color="auto" w:fill="auto"/>
            <w:noWrap/>
            <w:vAlign w:val="bottom"/>
            <w:hideMark/>
          </w:tcPr>
          <w:p w14:paraId="3574CA18"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$24 </w:t>
            </w:r>
          </w:p>
        </w:tc>
        <w:tc>
          <w:tcPr>
            <w:tcW w:w="659" w:type="pct"/>
            <w:shd w:val="clear" w:color="auto" w:fill="auto"/>
            <w:noWrap/>
            <w:vAlign w:val="bottom"/>
            <w:hideMark/>
          </w:tcPr>
          <w:p w14:paraId="5C79D0F6"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$5 </w:t>
            </w:r>
          </w:p>
        </w:tc>
        <w:tc>
          <w:tcPr>
            <w:tcW w:w="571" w:type="pct"/>
            <w:shd w:val="clear" w:color="auto" w:fill="auto"/>
            <w:noWrap/>
            <w:vAlign w:val="bottom"/>
            <w:hideMark/>
          </w:tcPr>
          <w:p w14:paraId="485249D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$4 </w:t>
            </w:r>
          </w:p>
        </w:tc>
        <w:tc>
          <w:tcPr>
            <w:tcW w:w="574" w:type="pct"/>
            <w:shd w:val="clear" w:color="auto" w:fill="auto"/>
            <w:noWrap/>
            <w:vAlign w:val="bottom"/>
            <w:hideMark/>
          </w:tcPr>
          <w:p w14:paraId="17E72967"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$4</w:t>
            </w:r>
          </w:p>
        </w:tc>
      </w:tr>
      <w:tr w:rsidR="000C7CFC" w:rsidRPr="008B204E" w14:paraId="03A68633" w14:textId="77777777" w:rsidTr="00C47566">
        <w:trPr>
          <w:trHeight w:val="20"/>
        </w:trPr>
        <w:tc>
          <w:tcPr>
            <w:tcW w:w="255" w:type="pct"/>
            <w:shd w:val="clear" w:color="auto" w:fill="auto"/>
            <w:noWrap/>
            <w:vAlign w:val="bottom"/>
            <w:hideMark/>
          </w:tcPr>
          <w:p w14:paraId="2787FEBC"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274435E2"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Water and Sewer Charges</w:t>
            </w:r>
          </w:p>
        </w:tc>
        <w:tc>
          <w:tcPr>
            <w:tcW w:w="615" w:type="pct"/>
            <w:shd w:val="clear" w:color="auto" w:fill="auto"/>
            <w:noWrap/>
            <w:vAlign w:val="bottom"/>
            <w:hideMark/>
          </w:tcPr>
          <w:p w14:paraId="7ED3F2C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14 </w:t>
            </w:r>
          </w:p>
        </w:tc>
        <w:tc>
          <w:tcPr>
            <w:tcW w:w="659" w:type="pct"/>
            <w:shd w:val="clear" w:color="auto" w:fill="auto"/>
            <w:noWrap/>
            <w:vAlign w:val="bottom"/>
            <w:hideMark/>
          </w:tcPr>
          <w:p w14:paraId="241651D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(5)</w:t>
            </w:r>
          </w:p>
        </w:tc>
        <w:tc>
          <w:tcPr>
            <w:tcW w:w="571" w:type="pct"/>
            <w:shd w:val="clear" w:color="auto" w:fill="auto"/>
            <w:noWrap/>
            <w:vAlign w:val="bottom"/>
            <w:hideMark/>
          </w:tcPr>
          <w:p w14:paraId="074E0411"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5 </w:t>
            </w:r>
          </w:p>
        </w:tc>
        <w:tc>
          <w:tcPr>
            <w:tcW w:w="574" w:type="pct"/>
            <w:shd w:val="clear" w:color="auto" w:fill="auto"/>
            <w:noWrap/>
            <w:vAlign w:val="bottom"/>
            <w:hideMark/>
          </w:tcPr>
          <w:p w14:paraId="56FEAFAE"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9 </w:t>
            </w:r>
          </w:p>
        </w:tc>
      </w:tr>
      <w:tr w:rsidR="000C7CFC" w:rsidRPr="008B204E" w14:paraId="2EA2152B" w14:textId="77777777" w:rsidTr="00C47566">
        <w:trPr>
          <w:trHeight w:val="20"/>
        </w:trPr>
        <w:tc>
          <w:tcPr>
            <w:tcW w:w="255" w:type="pct"/>
            <w:shd w:val="clear" w:color="auto" w:fill="auto"/>
            <w:noWrap/>
            <w:vAlign w:val="bottom"/>
            <w:hideMark/>
          </w:tcPr>
          <w:p w14:paraId="2676F9CB"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3D599B1E"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Licenses, Permits, Franchises</w:t>
            </w:r>
          </w:p>
        </w:tc>
        <w:tc>
          <w:tcPr>
            <w:tcW w:w="615" w:type="pct"/>
            <w:shd w:val="clear" w:color="auto" w:fill="auto"/>
            <w:noWrap/>
            <w:vAlign w:val="bottom"/>
            <w:hideMark/>
          </w:tcPr>
          <w:p w14:paraId="31A0947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35 </w:t>
            </w:r>
          </w:p>
        </w:tc>
        <w:tc>
          <w:tcPr>
            <w:tcW w:w="659" w:type="pct"/>
            <w:shd w:val="clear" w:color="auto" w:fill="auto"/>
            <w:noWrap/>
            <w:vAlign w:val="bottom"/>
            <w:hideMark/>
          </w:tcPr>
          <w:p w14:paraId="786D1091"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9 </w:t>
            </w:r>
          </w:p>
        </w:tc>
        <w:tc>
          <w:tcPr>
            <w:tcW w:w="571" w:type="pct"/>
            <w:shd w:val="clear" w:color="auto" w:fill="auto"/>
            <w:noWrap/>
            <w:vAlign w:val="bottom"/>
            <w:hideMark/>
          </w:tcPr>
          <w:p w14:paraId="0B217B5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26 </w:t>
            </w:r>
          </w:p>
        </w:tc>
        <w:tc>
          <w:tcPr>
            <w:tcW w:w="574" w:type="pct"/>
            <w:shd w:val="clear" w:color="auto" w:fill="auto"/>
            <w:noWrap/>
            <w:vAlign w:val="bottom"/>
            <w:hideMark/>
          </w:tcPr>
          <w:p w14:paraId="1E86A62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25 </w:t>
            </w:r>
          </w:p>
        </w:tc>
      </w:tr>
      <w:tr w:rsidR="000C7CFC" w:rsidRPr="008B204E" w14:paraId="42A84600" w14:textId="77777777" w:rsidTr="00C47566">
        <w:trPr>
          <w:trHeight w:val="20"/>
        </w:trPr>
        <w:tc>
          <w:tcPr>
            <w:tcW w:w="255" w:type="pct"/>
            <w:shd w:val="clear" w:color="auto" w:fill="auto"/>
            <w:noWrap/>
            <w:vAlign w:val="bottom"/>
            <w:hideMark/>
          </w:tcPr>
          <w:p w14:paraId="1B12E006"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3E291202"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Rental Income</w:t>
            </w:r>
          </w:p>
        </w:tc>
        <w:tc>
          <w:tcPr>
            <w:tcW w:w="615" w:type="pct"/>
            <w:shd w:val="clear" w:color="auto" w:fill="auto"/>
            <w:noWrap/>
            <w:vAlign w:val="bottom"/>
            <w:hideMark/>
          </w:tcPr>
          <w:p w14:paraId="48A4A9AC"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7 </w:t>
            </w:r>
          </w:p>
        </w:tc>
        <w:tc>
          <w:tcPr>
            <w:tcW w:w="659" w:type="pct"/>
            <w:shd w:val="clear" w:color="auto" w:fill="auto"/>
            <w:noWrap/>
            <w:vAlign w:val="bottom"/>
            <w:hideMark/>
          </w:tcPr>
          <w:p w14:paraId="700E083E"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4 </w:t>
            </w:r>
          </w:p>
        </w:tc>
        <w:tc>
          <w:tcPr>
            <w:tcW w:w="571" w:type="pct"/>
            <w:shd w:val="clear" w:color="auto" w:fill="auto"/>
            <w:noWrap/>
            <w:vAlign w:val="bottom"/>
            <w:hideMark/>
          </w:tcPr>
          <w:p w14:paraId="655F2DC7"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4" w:type="pct"/>
            <w:shd w:val="clear" w:color="auto" w:fill="auto"/>
            <w:noWrap/>
            <w:vAlign w:val="bottom"/>
            <w:hideMark/>
          </w:tcPr>
          <w:p w14:paraId="0F6C23D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r>
      <w:tr w:rsidR="000C7CFC" w:rsidRPr="008B204E" w14:paraId="30E8B7EB" w14:textId="77777777" w:rsidTr="00C47566">
        <w:trPr>
          <w:trHeight w:val="20"/>
        </w:trPr>
        <w:tc>
          <w:tcPr>
            <w:tcW w:w="255" w:type="pct"/>
            <w:shd w:val="clear" w:color="auto" w:fill="auto"/>
            <w:noWrap/>
            <w:vAlign w:val="bottom"/>
            <w:hideMark/>
          </w:tcPr>
          <w:p w14:paraId="4C9245BE"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228A5867"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Fines and Forfeitures</w:t>
            </w:r>
          </w:p>
        </w:tc>
        <w:tc>
          <w:tcPr>
            <w:tcW w:w="615" w:type="pct"/>
            <w:shd w:val="clear" w:color="auto" w:fill="auto"/>
            <w:noWrap/>
            <w:vAlign w:val="bottom"/>
            <w:hideMark/>
          </w:tcPr>
          <w:p w14:paraId="306E1AB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53 </w:t>
            </w:r>
          </w:p>
        </w:tc>
        <w:tc>
          <w:tcPr>
            <w:tcW w:w="659" w:type="pct"/>
            <w:shd w:val="clear" w:color="auto" w:fill="auto"/>
            <w:noWrap/>
            <w:vAlign w:val="bottom"/>
            <w:hideMark/>
          </w:tcPr>
          <w:p w14:paraId="0B04D52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25 </w:t>
            </w:r>
          </w:p>
        </w:tc>
        <w:tc>
          <w:tcPr>
            <w:tcW w:w="571" w:type="pct"/>
            <w:shd w:val="clear" w:color="auto" w:fill="auto"/>
            <w:noWrap/>
            <w:vAlign w:val="bottom"/>
            <w:hideMark/>
          </w:tcPr>
          <w:p w14:paraId="5370E7E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25 </w:t>
            </w:r>
          </w:p>
        </w:tc>
        <w:tc>
          <w:tcPr>
            <w:tcW w:w="574" w:type="pct"/>
            <w:shd w:val="clear" w:color="auto" w:fill="auto"/>
            <w:noWrap/>
            <w:vAlign w:val="bottom"/>
            <w:hideMark/>
          </w:tcPr>
          <w:p w14:paraId="2D7D09A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30 </w:t>
            </w:r>
          </w:p>
        </w:tc>
      </w:tr>
      <w:tr w:rsidR="000C7CFC" w:rsidRPr="008B204E" w14:paraId="07D51A30" w14:textId="77777777" w:rsidTr="00C47566">
        <w:trPr>
          <w:trHeight w:val="20"/>
        </w:trPr>
        <w:tc>
          <w:tcPr>
            <w:tcW w:w="255" w:type="pct"/>
            <w:shd w:val="clear" w:color="auto" w:fill="auto"/>
            <w:noWrap/>
            <w:vAlign w:val="bottom"/>
            <w:hideMark/>
          </w:tcPr>
          <w:p w14:paraId="6AE48132"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5B3D384C"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 xml:space="preserve">Other Miscellaneous </w:t>
            </w:r>
          </w:p>
        </w:tc>
        <w:tc>
          <w:tcPr>
            <w:tcW w:w="615" w:type="pct"/>
            <w:shd w:val="clear" w:color="auto" w:fill="auto"/>
            <w:noWrap/>
            <w:vAlign w:val="bottom"/>
            <w:hideMark/>
          </w:tcPr>
          <w:p w14:paraId="56A5B36B"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26 </w:t>
            </w:r>
          </w:p>
        </w:tc>
        <w:tc>
          <w:tcPr>
            <w:tcW w:w="659" w:type="pct"/>
            <w:shd w:val="clear" w:color="auto" w:fill="auto"/>
            <w:noWrap/>
            <w:vAlign w:val="bottom"/>
            <w:hideMark/>
          </w:tcPr>
          <w:p w14:paraId="2DE0FAB8"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1" w:type="pct"/>
            <w:shd w:val="clear" w:color="auto" w:fill="auto"/>
            <w:noWrap/>
            <w:vAlign w:val="bottom"/>
            <w:hideMark/>
          </w:tcPr>
          <w:p w14:paraId="2AFF3F6F"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574" w:type="pct"/>
            <w:shd w:val="clear" w:color="auto" w:fill="auto"/>
            <w:noWrap/>
            <w:vAlign w:val="bottom"/>
            <w:hideMark/>
          </w:tcPr>
          <w:p w14:paraId="1D314FF5"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r>
      <w:tr w:rsidR="000C7CFC" w:rsidRPr="008B204E" w14:paraId="3A993EEC" w14:textId="77777777" w:rsidTr="00C47566">
        <w:trPr>
          <w:trHeight w:val="20"/>
        </w:trPr>
        <w:tc>
          <w:tcPr>
            <w:tcW w:w="255" w:type="pct"/>
            <w:shd w:val="clear" w:color="auto" w:fill="auto"/>
            <w:noWrap/>
            <w:vAlign w:val="bottom"/>
            <w:hideMark/>
          </w:tcPr>
          <w:p w14:paraId="155A4F0C"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44974E42"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Interest Income</w:t>
            </w:r>
          </w:p>
        </w:tc>
        <w:tc>
          <w:tcPr>
            <w:tcW w:w="615" w:type="pct"/>
            <w:shd w:val="clear" w:color="auto" w:fill="auto"/>
            <w:noWrap/>
            <w:vAlign w:val="bottom"/>
            <w:hideMark/>
          </w:tcPr>
          <w:p w14:paraId="7BA21E14"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0 </w:t>
            </w:r>
          </w:p>
        </w:tc>
        <w:tc>
          <w:tcPr>
            <w:tcW w:w="659" w:type="pct"/>
            <w:shd w:val="clear" w:color="auto" w:fill="auto"/>
            <w:noWrap/>
            <w:vAlign w:val="bottom"/>
            <w:hideMark/>
          </w:tcPr>
          <w:p w14:paraId="1568D8E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3 </w:t>
            </w:r>
          </w:p>
        </w:tc>
        <w:tc>
          <w:tcPr>
            <w:tcW w:w="571" w:type="pct"/>
            <w:shd w:val="clear" w:color="auto" w:fill="auto"/>
            <w:noWrap/>
            <w:vAlign w:val="bottom"/>
            <w:hideMark/>
          </w:tcPr>
          <w:p w14:paraId="72551411"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(9)</w:t>
            </w:r>
          </w:p>
        </w:tc>
        <w:tc>
          <w:tcPr>
            <w:tcW w:w="574" w:type="pct"/>
            <w:shd w:val="clear" w:color="auto" w:fill="auto"/>
            <w:noWrap/>
            <w:vAlign w:val="bottom"/>
            <w:hideMark/>
          </w:tcPr>
          <w:p w14:paraId="44EFB255"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28 </w:t>
            </w:r>
          </w:p>
        </w:tc>
      </w:tr>
      <w:tr w:rsidR="000C7CFC" w:rsidRPr="008B204E" w14:paraId="3E030E58" w14:textId="77777777" w:rsidTr="00C47566">
        <w:trPr>
          <w:trHeight w:val="20"/>
        </w:trPr>
        <w:tc>
          <w:tcPr>
            <w:tcW w:w="255" w:type="pct"/>
            <w:shd w:val="clear" w:color="auto" w:fill="auto"/>
            <w:noWrap/>
            <w:vAlign w:val="bottom"/>
            <w:hideMark/>
          </w:tcPr>
          <w:p w14:paraId="240FA79F" w14:textId="77777777" w:rsidR="000C7CFC" w:rsidRPr="00184DF0" w:rsidRDefault="000C7CFC" w:rsidP="000C7CFC">
            <w:pPr>
              <w:spacing w:after="0"/>
              <w:jc w:val="right"/>
              <w:rPr>
                <w:rFonts w:eastAsia="Times New Roman" w:cs="Times New Roman"/>
                <w:color w:val="000000"/>
                <w:sz w:val="20"/>
                <w:szCs w:val="20"/>
              </w:rPr>
            </w:pPr>
          </w:p>
        </w:tc>
        <w:tc>
          <w:tcPr>
            <w:tcW w:w="2326" w:type="pct"/>
            <w:shd w:val="clear" w:color="auto" w:fill="auto"/>
            <w:noWrap/>
            <w:vAlign w:val="bottom"/>
            <w:hideMark/>
          </w:tcPr>
          <w:p w14:paraId="079E47F8" w14:textId="77777777" w:rsidR="000C7CFC" w:rsidRPr="00184DF0" w:rsidRDefault="000C7CFC" w:rsidP="000C7CFC">
            <w:pPr>
              <w:spacing w:after="0"/>
              <w:rPr>
                <w:rFonts w:eastAsia="Times New Roman" w:cs="Times New Roman"/>
                <w:sz w:val="20"/>
                <w:szCs w:val="20"/>
              </w:rPr>
            </w:pPr>
            <w:r w:rsidRPr="00184DF0">
              <w:rPr>
                <w:rFonts w:eastAsia="Times New Roman" w:cs="Times New Roman"/>
                <w:sz w:val="20"/>
                <w:szCs w:val="20"/>
              </w:rPr>
              <w:t>Intra City</w:t>
            </w:r>
          </w:p>
        </w:tc>
        <w:tc>
          <w:tcPr>
            <w:tcW w:w="615" w:type="pct"/>
            <w:tcBorders>
              <w:bottom w:val="single" w:sz="4" w:space="0" w:color="auto"/>
            </w:tcBorders>
            <w:shd w:val="clear" w:color="auto" w:fill="auto"/>
            <w:noWrap/>
            <w:vAlign w:val="bottom"/>
            <w:hideMark/>
          </w:tcPr>
          <w:p w14:paraId="5E3BBA53"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79 </w:t>
            </w:r>
          </w:p>
        </w:tc>
        <w:tc>
          <w:tcPr>
            <w:tcW w:w="659" w:type="pct"/>
            <w:tcBorders>
              <w:bottom w:val="single" w:sz="4" w:space="0" w:color="auto"/>
            </w:tcBorders>
            <w:shd w:val="clear" w:color="auto" w:fill="auto"/>
            <w:noWrap/>
            <w:vAlign w:val="bottom"/>
            <w:hideMark/>
          </w:tcPr>
          <w:p w14:paraId="3467FC1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12 </w:t>
            </w:r>
          </w:p>
        </w:tc>
        <w:tc>
          <w:tcPr>
            <w:tcW w:w="571" w:type="pct"/>
            <w:tcBorders>
              <w:bottom w:val="single" w:sz="4" w:space="0" w:color="auto"/>
            </w:tcBorders>
            <w:shd w:val="clear" w:color="auto" w:fill="auto"/>
            <w:noWrap/>
            <w:vAlign w:val="bottom"/>
            <w:hideMark/>
          </w:tcPr>
          <w:p w14:paraId="143DB999"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4 </w:t>
            </w:r>
          </w:p>
        </w:tc>
        <w:tc>
          <w:tcPr>
            <w:tcW w:w="574" w:type="pct"/>
            <w:tcBorders>
              <w:bottom w:val="single" w:sz="4" w:space="0" w:color="auto"/>
            </w:tcBorders>
            <w:shd w:val="clear" w:color="auto" w:fill="auto"/>
            <w:noWrap/>
            <w:vAlign w:val="bottom"/>
            <w:hideMark/>
          </w:tcPr>
          <w:p w14:paraId="1F05D682"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4 </w:t>
            </w:r>
          </w:p>
        </w:tc>
      </w:tr>
      <w:tr w:rsidR="000C7CFC" w:rsidRPr="008B204E" w14:paraId="63576B2C" w14:textId="77777777" w:rsidTr="00C47566">
        <w:trPr>
          <w:trHeight w:val="20"/>
        </w:trPr>
        <w:tc>
          <w:tcPr>
            <w:tcW w:w="2581" w:type="pct"/>
            <w:gridSpan w:val="2"/>
            <w:shd w:val="clear" w:color="auto" w:fill="auto"/>
            <w:noWrap/>
            <w:vAlign w:val="bottom"/>
            <w:hideMark/>
          </w:tcPr>
          <w:p w14:paraId="164A2CFF"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Total Miscellaneous</w:t>
            </w:r>
          </w:p>
        </w:tc>
        <w:tc>
          <w:tcPr>
            <w:tcW w:w="615" w:type="pct"/>
            <w:tcBorders>
              <w:top w:val="single" w:sz="4" w:space="0" w:color="auto"/>
            </w:tcBorders>
            <w:shd w:val="clear" w:color="auto" w:fill="auto"/>
            <w:noWrap/>
            <w:vAlign w:val="bottom"/>
            <w:hideMark/>
          </w:tcPr>
          <w:p w14:paraId="36AD031C"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$238 </w:t>
            </w:r>
          </w:p>
        </w:tc>
        <w:tc>
          <w:tcPr>
            <w:tcW w:w="659" w:type="pct"/>
            <w:tcBorders>
              <w:top w:val="single" w:sz="4" w:space="0" w:color="auto"/>
            </w:tcBorders>
            <w:shd w:val="clear" w:color="auto" w:fill="auto"/>
            <w:noWrap/>
            <w:vAlign w:val="bottom"/>
            <w:hideMark/>
          </w:tcPr>
          <w:p w14:paraId="265D2629"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$53 </w:t>
            </w:r>
          </w:p>
        </w:tc>
        <w:tc>
          <w:tcPr>
            <w:tcW w:w="571" w:type="pct"/>
            <w:tcBorders>
              <w:top w:val="single" w:sz="4" w:space="0" w:color="auto"/>
            </w:tcBorders>
            <w:shd w:val="clear" w:color="auto" w:fill="auto"/>
            <w:noWrap/>
            <w:vAlign w:val="bottom"/>
            <w:hideMark/>
          </w:tcPr>
          <w:p w14:paraId="5E8DB654"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$55 </w:t>
            </w:r>
          </w:p>
        </w:tc>
        <w:tc>
          <w:tcPr>
            <w:tcW w:w="574" w:type="pct"/>
            <w:tcBorders>
              <w:top w:val="single" w:sz="4" w:space="0" w:color="auto"/>
            </w:tcBorders>
            <w:shd w:val="clear" w:color="auto" w:fill="auto"/>
            <w:noWrap/>
            <w:vAlign w:val="bottom"/>
            <w:hideMark/>
          </w:tcPr>
          <w:p w14:paraId="7D98A0A2"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$100 </w:t>
            </w:r>
          </w:p>
        </w:tc>
      </w:tr>
      <w:tr w:rsidR="000C7CFC" w:rsidRPr="008B204E" w14:paraId="54709AA2" w14:textId="77777777" w:rsidTr="00C47566">
        <w:trPr>
          <w:trHeight w:val="20"/>
        </w:trPr>
        <w:tc>
          <w:tcPr>
            <w:tcW w:w="255" w:type="pct"/>
            <w:shd w:val="clear" w:color="auto" w:fill="auto"/>
            <w:noWrap/>
            <w:vAlign w:val="bottom"/>
            <w:hideMark/>
          </w:tcPr>
          <w:p w14:paraId="2BB76ECC" w14:textId="77777777" w:rsidR="000C7CFC" w:rsidRPr="00184DF0" w:rsidRDefault="000C7CFC" w:rsidP="000C7CFC">
            <w:pPr>
              <w:spacing w:after="0"/>
              <w:jc w:val="right"/>
              <w:rPr>
                <w:rFonts w:eastAsia="Times New Roman" w:cs="Times New Roman"/>
                <w:b/>
                <w:bCs/>
                <w:color w:val="000000"/>
                <w:sz w:val="20"/>
                <w:szCs w:val="20"/>
              </w:rPr>
            </w:pPr>
          </w:p>
        </w:tc>
        <w:tc>
          <w:tcPr>
            <w:tcW w:w="2326" w:type="pct"/>
            <w:shd w:val="clear" w:color="auto" w:fill="auto"/>
            <w:noWrap/>
            <w:vAlign w:val="bottom"/>
            <w:hideMark/>
          </w:tcPr>
          <w:p w14:paraId="37224C98" w14:textId="77777777" w:rsidR="000C7CFC" w:rsidRPr="00184DF0" w:rsidRDefault="000C7CFC" w:rsidP="000C7CFC">
            <w:pPr>
              <w:spacing w:after="0"/>
              <w:rPr>
                <w:rFonts w:eastAsia="Times New Roman" w:cs="Times New Roman"/>
                <w:sz w:val="20"/>
                <w:szCs w:val="20"/>
              </w:rPr>
            </w:pPr>
          </w:p>
        </w:tc>
        <w:tc>
          <w:tcPr>
            <w:tcW w:w="615" w:type="pct"/>
            <w:shd w:val="clear" w:color="auto" w:fill="auto"/>
            <w:noWrap/>
            <w:vAlign w:val="bottom"/>
            <w:hideMark/>
          </w:tcPr>
          <w:p w14:paraId="39E13DCF" w14:textId="77777777" w:rsidR="000C7CFC" w:rsidRPr="00184DF0" w:rsidRDefault="000C7CFC" w:rsidP="000C7CFC">
            <w:pPr>
              <w:spacing w:after="0"/>
              <w:rPr>
                <w:rFonts w:eastAsia="Times New Roman" w:cs="Times New Roman"/>
                <w:sz w:val="20"/>
                <w:szCs w:val="20"/>
              </w:rPr>
            </w:pPr>
          </w:p>
        </w:tc>
        <w:tc>
          <w:tcPr>
            <w:tcW w:w="659" w:type="pct"/>
            <w:shd w:val="clear" w:color="auto" w:fill="auto"/>
            <w:noWrap/>
            <w:vAlign w:val="bottom"/>
            <w:hideMark/>
          </w:tcPr>
          <w:p w14:paraId="110CF8D5" w14:textId="77777777" w:rsidR="000C7CFC" w:rsidRPr="00184DF0" w:rsidRDefault="000C7CFC" w:rsidP="000C7CFC">
            <w:pPr>
              <w:spacing w:after="0"/>
              <w:rPr>
                <w:rFonts w:eastAsia="Times New Roman" w:cs="Times New Roman"/>
                <w:sz w:val="20"/>
                <w:szCs w:val="20"/>
              </w:rPr>
            </w:pPr>
          </w:p>
        </w:tc>
        <w:tc>
          <w:tcPr>
            <w:tcW w:w="571" w:type="pct"/>
            <w:shd w:val="clear" w:color="auto" w:fill="auto"/>
            <w:noWrap/>
            <w:vAlign w:val="bottom"/>
            <w:hideMark/>
          </w:tcPr>
          <w:p w14:paraId="39B2B38F" w14:textId="77777777" w:rsidR="000C7CFC" w:rsidRPr="00184DF0" w:rsidRDefault="000C7CFC" w:rsidP="000C7CFC">
            <w:pPr>
              <w:spacing w:after="0"/>
              <w:rPr>
                <w:rFonts w:eastAsia="Times New Roman" w:cs="Times New Roman"/>
                <w:sz w:val="20"/>
                <w:szCs w:val="20"/>
              </w:rPr>
            </w:pPr>
          </w:p>
        </w:tc>
        <w:tc>
          <w:tcPr>
            <w:tcW w:w="574" w:type="pct"/>
            <w:shd w:val="clear" w:color="auto" w:fill="auto"/>
            <w:noWrap/>
            <w:vAlign w:val="bottom"/>
            <w:hideMark/>
          </w:tcPr>
          <w:p w14:paraId="179F46EC" w14:textId="77777777" w:rsidR="000C7CFC" w:rsidRPr="00184DF0" w:rsidRDefault="000C7CFC" w:rsidP="000C7CFC">
            <w:pPr>
              <w:spacing w:after="0"/>
              <w:rPr>
                <w:rFonts w:eastAsia="Times New Roman" w:cs="Times New Roman"/>
                <w:sz w:val="20"/>
                <w:szCs w:val="20"/>
              </w:rPr>
            </w:pPr>
          </w:p>
        </w:tc>
      </w:tr>
      <w:tr w:rsidR="000C7CFC" w:rsidRPr="008B204E" w14:paraId="6C361CFE" w14:textId="77777777" w:rsidTr="00C47566">
        <w:trPr>
          <w:trHeight w:val="20"/>
        </w:trPr>
        <w:tc>
          <w:tcPr>
            <w:tcW w:w="2581" w:type="pct"/>
            <w:gridSpan w:val="2"/>
            <w:shd w:val="clear" w:color="auto" w:fill="auto"/>
            <w:noWrap/>
            <w:vAlign w:val="bottom"/>
            <w:hideMark/>
          </w:tcPr>
          <w:p w14:paraId="7EE91CF4"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Net Disallowances &amp; Transfers</w:t>
            </w:r>
          </w:p>
        </w:tc>
        <w:tc>
          <w:tcPr>
            <w:tcW w:w="615" w:type="pct"/>
            <w:shd w:val="clear" w:color="auto" w:fill="auto"/>
            <w:noWrap/>
            <w:vAlign w:val="bottom"/>
            <w:hideMark/>
          </w:tcPr>
          <w:p w14:paraId="5008B041"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 xml:space="preserve">$21 </w:t>
            </w:r>
          </w:p>
        </w:tc>
        <w:tc>
          <w:tcPr>
            <w:tcW w:w="659" w:type="pct"/>
            <w:shd w:val="clear" w:color="auto" w:fill="auto"/>
            <w:noWrap/>
            <w:vAlign w:val="bottom"/>
            <w:hideMark/>
          </w:tcPr>
          <w:p w14:paraId="785E91F0"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($12)</w:t>
            </w:r>
          </w:p>
        </w:tc>
        <w:tc>
          <w:tcPr>
            <w:tcW w:w="571" w:type="pct"/>
            <w:shd w:val="clear" w:color="auto" w:fill="auto"/>
            <w:noWrap/>
            <w:vAlign w:val="bottom"/>
            <w:hideMark/>
          </w:tcPr>
          <w:p w14:paraId="5F11ACB5" w14:textId="77777777"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($4)</w:t>
            </w:r>
          </w:p>
        </w:tc>
        <w:tc>
          <w:tcPr>
            <w:tcW w:w="574" w:type="pct"/>
            <w:shd w:val="clear" w:color="auto" w:fill="auto"/>
            <w:noWrap/>
            <w:vAlign w:val="bottom"/>
            <w:hideMark/>
          </w:tcPr>
          <w:p w14:paraId="441B73CB" w14:textId="1BEEFB5D" w:rsidR="000C7CFC" w:rsidRPr="00184DF0" w:rsidRDefault="000C7CFC" w:rsidP="000C7CFC">
            <w:pPr>
              <w:spacing w:after="0"/>
              <w:jc w:val="right"/>
              <w:rPr>
                <w:rFonts w:eastAsia="Times New Roman" w:cs="Times New Roman"/>
                <w:color w:val="000000"/>
                <w:sz w:val="20"/>
                <w:szCs w:val="20"/>
              </w:rPr>
            </w:pPr>
            <w:r w:rsidRPr="00184DF0">
              <w:rPr>
                <w:rFonts w:eastAsia="Times New Roman" w:cs="Times New Roman"/>
                <w:color w:val="000000"/>
                <w:sz w:val="20"/>
                <w:szCs w:val="20"/>
              </w:rPr>
              <w:t>(</w:t>
            </w:r>
            <w:r w:rsidR="004E78F8">
              <w:rPr>
                <w:rFonts w:eastAsia="Times New Roman" w:cs="Times New Roman"/>
                <w:color w:val="000000"/>
                <w:sz w:val="20"/>
                <w:szCs w:val="20"/>
              </w:rPr>
              <w:t>$</w:t>
            </w:r>
            <w:r w:rsidRPr="00184DF0">
              <w:rPr>
                <w:rFonts w:eastAsia="Times New Roman" w:cs="Times New Roman"/>
                <w:color w:val="000000"/>
                <w:sz w:val="20"/>
                <w:szCs w:val="20"/>
              </w:rPr>
              <w:t>4)</w:t>
            </w:r>
          </w:p>
        </w:tc>
      </w:tr>
      <w:tr w:rsidR="000C7CFC" w:rsidRPr="008B204E" w14:paraId="3EB18825" w14:textId="77777777" w:rsidTr="00C47566">
        <w:trPr>
          <w:trHeight w:val="20"/>
        </w:trPr>
        <w:tc>
          <w:tcPr>
            <w:tcW w:w="255" w:type="pct"/>
            <w:tcBorders>
              <w:bottom w:val="single" w:sz="4" w:space="0" w:color="auto"/>
            </w:tcBorders>
            <w:shd w:val="clear" w:color="auto" w:fill="auto"/>
            <w:noWrap/>
            <w:vAlign w:val="bottom"/>
            <w:hideMark/>
          </w:tcPr>
          <w:p w14:paraId="73032BD7" w14:textId="77777777" w:rsidR="000C7CFC" w:rsidRPr="00184DF0" w:rsidRDefault="000C7CFC" w:rsidP="000C7CFC">
            <w:pPr>
              <w:spacing w:after="0"/>
              <w:jc w:val="right"/>
              <w:rPr>
                <w:rFonts w:eastAsia="Times New Roman" w:cs="Times New Roman"/>
                <w:color w:val="000000"/>
                <w:sz w:val="20"/>
                <w:szCs w:val="20"/>
              </w:rPr>
            </w:pPr>
          </w:p>
        </w:tc>
        <w:tc>
          <w:tcPr>
            <w:tcW w:w="2326" w:type="pct"/>
            <w:tcBorders>
              <w:bottom w:val="single" w:sz="4" w:space="0" w:color="auto"/>
            </w:tcBorders>
            <w:shd w:val="clear" w:color="auto" w:fill="auto"/>
            <w:noWrap/>
            <w:vAlign w:val="bottom"/>
            <w:hideMark/>
          </w:tcPr>
          <w:p w14:paraId="5BB5C2C7" w14:textId="77777777" w:rsidR="000C7CFC" w:rsidRPr="00184DF0" w:rsidRDefault="000C7CFC" w:rsidP="000C7CFC">
            <w:pPr>
              <w:spacing w:after="0"/>
              <w:rPr>
                <w:rFonts w:eastAsia="Times New Roman" w:cs="Times New Roman"/>
                <w:sz w:val="20"/>
                <w:szCs w:val="20"/>
              </w:rPr>
            </w:pPr>
          </w:p>
        </w:tc>
        <w:tc>
          <w:tcPr>
            <w:tcW w:w="615" w:type="pct"/>
            <w:tcBorders>
              <w:bottom w:val="single" w:sz="4" w:space="0" w:color="auto"/>
            </w:tcBorders>
            <w:shd w:val="clear" w:color="auto" w:fill="auto"/>
            <w:noWrap/>
            <w:vAlign w:val="bottom"/>
            <w:hideMark/>
          </w:tcPr>
          <w:p w14:paraId="66FE26E1" w14:textId="77777777" w:rsidR="000C7CFC" w:rsidRPr="00184DF0" w:rsidRDefault="000C7CFC" w:rsidP="000C7CFC">
            <w:pPr>
              <w:spacing w:after="0"/>
              <w:rPr>
                <w:rFonts w:eastAsia="Times New Roman" w:cs="Times New Roman"/>
                <w:sz w:val="20"/>
                <w:szCs w:val="20"/>
              </w:rPr>
            </w:pPr>
          </w:p>
        </w:tc>
        <w:tc>
          <w:tcPr>
            <w:tcW w:w="659" w:type="pct"/>
            <w:tcBorders>
              <w:bottom w:val="single" w:sz="4" w:space="0" w:color="auto"/>
            </w:tcBorders>
            <w:shd w:val="clear" w:color="auto" w:fill="auto"/>
            <w:noWrap/>
            <w:vAlign w:val="bottom"/>
            <w:hideMark/>
          </w:tcPr>
          <w:p w14:paraId="3F2676BB" w14:textId="77777777" w:rsidR="000C7CFC" w:rsidRPr="00184DF0" w:rsidRDefault="000C7CFC" w:rsidP="000C7CFC">
            <w:pPr>
              <w:spacing w:after="0"/>
              <w:rPr>
                <w:rFonts w:eastAsia="Times New Roman" w:cs="Times New Roman"/>
                <w:sz w:val="20"/>
                <w:szCs w:val="20"/>
              </w:rPr>
            </w:pPr>
          </w:p>
        </w:tc>
        <w:tc>
          <w:tcPr>
            <w:tcW w:w="571" w:type="pct"/>
            <w:tcBorders>
              <w:bottom w:val="single" w:sz="4" w:space="0" w:color="auto"/>
            </w:tcBorders>
            <w:shd w:val="clear" w:color="auto" w:fill="auto"/>
            <w:noWrap/>
            <w:vAlign w:val="bottom"/>
            <w:hideMark/>
          </w:tcPr>
          <w:p w14:paraId="41A5BA7A" w14:textId="77777777" w:rsidR="000C7CFC" w:rsidRPr="00184DF0" w:rsidRDefault="000C7CFC" w:rsidP="000C7CFC">
            <w:pPr>
              <w:spacing w:after="0"/>
              <w:rPr>
                <w:rFonts w:eastAsia="Times New Roman" w:cs="Times New Roman"/>
                <w:sz w:val="20"/>
                <w:szCs w:val="20"/>
              </w:rPr>
            </w:pPr>
          </w:p>
        </w:tc>
        <w:tc>
          <w:tcPr>
            <w:tcW w:w="574" w:type="pct"/>
            <w:tcBorders>
              <w:bottom w:val="single" w:sz="4" w:space="0" w:color="auto"/>
            </w:tcBorders>
            <w:shd w:val="clear" w:color="auto" w:fill="auto"/>
            <w:noWrap/>
            <w:vAlign w:val="bottom"/>
            <w:hideMark/>
          </w:tcPr>
          <w:p w14:paraId="0DEFAC4C" w14:textId="77777777" w:rsidR="000C7CFC" w:rsidRPr="00184DF0" w:rsidRDefault="000C7CFC" w:rsidP="000C7CFC">
            <w:pPr>
              <w:spacing w:after="0"/>
              <w:rPr>
                <w:rFonts w:eastAsia="Times New Roman" w:cs="Times New Roman"/>
                <w:sz w:val="20"/>
                <w:szCs w:val="20"/>
              </w:rPr>
            </w:pPr>
          </w:p>
        </w:tc>
      </w:tr>
      <w:tr w:rsidR="000C7CFC" w:rsidRPr="008B204E" w14:paraId="2FD182C7" w14:textId="77777777" w:rsidTr="00C47566">
        <w:trPr>
          <w:trHeight w:val="20"/>
        </w:trPr>
        <w:tc>
          <w:tcPr>
            <w:tcW w:w="2581" w:type="pct"/>
            <w:gridSpan w:val="2"/>
            <w:tcBorders>
              <w:top w:val="single" w:sz="4" w:space="0" w:color="auto"/>
              <w:bottom w:val="single" w:sz="4" w:space="0" w:color="auto"/>
            </w:tcBorders>
            <w:shd w:val="clear" w:color="000000" w:fill="FFFFFF"/>
            <w:noWrap/>
            <w:vAlign w:val="bottom"/>
            <w:hideMark/>
          </w:tcPr>
          <w:p w14:paraId="3BC0D78C"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Total Revenue</w:t>
            </w:r>
          </w:p>
        </w:tc>
        <w:tc>
          <w:tcPr>
            <w:tcW w:w="615" w:type="pct"/>
            <w:tcBorders>
              <w:top w:val="single" w:sz="4" w:space="0" w:color="auto"/>
              <w:bottom w:val="single" w:sz="4" w:space="0" w:color="auto"/>
            </w:tcBorders>
            <w:shd w:val="clear" w:color="000000" w:fill="FFFFFF"/>
            <w:noWrap/>
            <w:vAlign w:val="bottom"/>
            <w:hideMark/>
          </w:tcPr>
          <w:p w14:paraId="7019E31C"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$1,454 </w:t>
            </w:r>
          </w:p>
        </w:tc>
        <w:tc>
          <w:tcPr>
            <w:tcW w:w="659" w:type="pct"/>
            <w:tcBorders>
              <w:top w:val="single" w:sz="4" w:space="0" w:color="auto"/>
              <w:bottom w:val="single" w:sz="4" w:space="0" w:color="auto"/>
            </w:tcBorders>
            <w:shd w:val="clear" w:color="000000" w:fill="FFFFFF"/>
            <w:noWrap/>
            <w:vAlign w:val="bottom"/>
            <w:hideMark/>
          </w:tcPr>
          <w:p w14:paraId="2C2A8D6D"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$743 </w:t>
            </w:r>
          </w:p>
        </w:tc>
        <w:tc>
          <w:tcPr>
            <w:tcW w:w="571" w:type="pct"/>
            <w:tcBorders>
              <w:top w:val="single" w:sz="4" w:space="0" w:color="auto"/>
              <w:bottom w:val="single" w:sz="4" w:space="0" w:color="auto"/>
            </w:tcBorders>
            <w:shd w:val="clear" w:color="000000" w:fill="FFFFFF"/>
            <w:noWrap/>
            <w:vAlign w:val="bottom"/>
            <w:hideMark/>
          </w:tcPr>
          <w:p w14:paraId="778069EF" w14:textId="77777777" w:rsidR="000C7CFC" w:rsidRPr="00184DF0" w:rsidRDefault="000C7CFC" w:rsidP="000C7CFC">
            <w:pPr>
              <w:spacing w:after="0"/>
              <w:jc w:val="right"/>
              <w:rPr>
                <w:rFonts w:eastAsia="Times New Roman" w:cs="Times New Roman"/>
                <w:b/>
                <w:bCs/>
                <w:sz w:val="20"/>
                <w:szCs w:val="20"/>
              </w:rPr>
            </w:pPr>
            <w:r w:rsidRPr="00184DF0">
              <w:rPr>
                <w:rFonts w:eastAsia="Times New Roman" w:cs="Times New Roman"/>
                <w:b/>
                <w:bCs/>
                <w:sz w:val="20"/>
                <w:szCs w:val="20"/>
              </w:rPr>
              <w:t xml:space="preserve">$293 </w:t>
            </w:r>
          </w:p>
        </w:tc>
        <w:tc>
          <w:tcPr>
            <w:tcW w:w="574" w:type="pct"/>
            <w:tcBorders>
              <w:top w:val="single" w:sz="4" w:space="0" w:color="auto"/>
              <w:bottom w:val="single" w:sz="4" w:space="0" w:color="auto"/>
            </w:tcBorders>
            <w:shd w:val="clear" w:color="auto" w:fill="auto"/>
            <w:noWrap/>
            <w:vAlign w:val="bottom"/>
            <w:hideMark/>
          </w:tcPr>
          <w:p w14:paraId="146CDFC7"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$331 </w:t>
            </w:r>
          </w:p>
        </w:tc>
      </w:tr>
      <w:tr w:rsidR="000C7CFC" w:rsidRPr="008B204E" w14:paraId="2BFE3358" w14:textId="77777777" w:rsidTr="00C47566">
        <w:trPr>
          <w:trHeight w:val="20"/>
        </w:trPr>
        <w:tc>
          <w:tcPr>
            <w:tcW w:w="2581" w:type="pct"/>
            <w:gridSpan w:val="2"/>
            <w:tcBorders>
              <w:top w:val="single" w:sz="4" w:space="0" w:color="auto"/>
            </w:tcBorders>
            <w:shd w:val="clear" w:color="000000" w:fill="FFFFFF"/>
            <w:noWrap/>
            <w:vAlign w:val="bottom"/>
            <w:hideMark/>
          </w:tcPr>
          <w:p w14:paraId="1392C996"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City Funds</w:t>
            </w:r>
          </w:p>
        </w:tc>
        <w:tc>
          <w:tcPr>
            <w:tcW w:w="615" w:type="pct"/>
            <w:tcBorders>
              <w:top w:val="single" w:sz="4" w:space="0" w:color="auto"/>
            </w:tcBorders>
            <w:shd w:val="clear" w:color="000000" w:fill="FFFFFF"/>
            <w:noWrap/>
            <w:vAlign w:val="bottom"/>
            <w:hideMark/>
          </w:tcPr>
          <w:p w14:paraId="014C494D"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$960 </w:t>
            </w:r>
          </w:p>
        </w:tc>
        <w:tc>
          <w:tcPr>
            <w:tcW w:w="659" w:type="pct"/>
            <w:tcBorders>
              <w:top w:val="single" w:sz="4" w:space="0" w:color="auto"/>
            </w:tcBorders>
            <w:shd w:val="clear" w:color="000000" w:fill="FFFFFF"/>
            <w:noWrap/>
            <w:vAlign w:val="bottom"/>
            <w:hideMark/>
          </w:tcPr>
          <w:p w14:paraId="66A4BF39"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$534 </w:t>
            </w:r>
          </w:p>
        </w:tc>
        <w:tc>
          <w:tcPr>
            <w:tcW w:w="571" w:type="pct"/>
            <w:tcBorders>
              <w:top w:val="single" w:sz="4" w:space="0" w:color="auto"/>
            </w:tcBorders>
            <w:shd w:val="clear" w:color="000000" w:fill="FFFFFF"/>
            <w:noWrap/>
            <w:vAlign w:val="bottom"/>
            <w:hideMark/>
          </w:tcPr>
          <w:p w14:paraId="5948ED03"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$189 </w:t>
            </w:r>
          </w:p>
        </w:tc>
        <w:tc>
          <w:tcPr>
            <w:tcW w:w="574" w:type="pct"/>
            <w:tcBorders>
              <w:top w:val="single" w:sz="4" w:space="0" w:color="auto"/>
            </w:tcBorders>
            <w:shd w:val="clear" w:color="auto" w:fill="auto"/>
            <w:noWrap/>
            <w:vAlign w:val="bottom"/>
            <w:hideMark/>
          </w:tcPr>
          <w:p w14:paraId="5DB96255"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$241 </w:t>
            </w:r>
          </w:p>
        </w:tc>
      </w:tr>
      <w:tr w:rsidR="000C7CFC" w:rsidRPr="008B204E" w14:paraId="42A9A6A0" w14:textId="77777777" w:rsidTr="00C47566">
        <w:trPr>
          <w:trHeight w:val="20"/>
        </w:trPr>
        <w:tc>
          <w:tcPr>
            <w:tcW w:w="2581" w:type="pct"/>
            <w:gridSpan w:val="2"/>
            <w:tcBorders>
              <w:bottom w:val="single" w:sz="4" w:space="0" w:color="auto"/>
            </w:tcBorders>
            <w:shd w:val="clear" w:color="000000" w:fill="FFFFFF"/>
            <w:noWrap/>
            <w:vAlign w:val="bottom"/>
            <w:hideMark/>
          </w:tcPr>
          <w:p w14:paraId="52046FFD" w14:textId="77777777" w:rsidR="000C7CFC" w:rsidRPr="00184DF0" w:rsidRDefault="000C7CFC" w:rsidP="000C7CFC">
            <w:pPr>
              <w:spacing w:after="0"/>
              <w:rPr>
                <w:rFonts w:eastAsia="Times New Roman" w:cs="Times New Roman"/>
                <w:b/>
                <w:bCs/>
                <w:sz w:val="20"/>
                <w:szCs w:val="20"/>
              </w:rPr>
            </w:pPr>
            <w:r w:rsidRPr="00184DF0">
              <w:rPr>
                <w:rFonts w:eastAsia="Times New Roman" w:cs="Times New Roman"/>
                <w:b/>
                <w:bCs/>
                <w:sz w:val="20"/>
                <w:szCs w:val="20"/>
              </w:rPr>
              <w:t>Federal &amp; State Revenue</w:t>
            </w:r>
          </w:p>
        </w:tc>
        <w:tc>
          <w:tcPr>
            <w:tcW w:w="615" w:type="pct"/>
            <w:tcBorders>
              <w:bottom w:val="single" w:sz="4" w:space="0" w:color="auto"/>
            </w:tcBorders>
            <w:shd w:val="clear" w:color="000000" w:fill="FFFFFF"/>
            <w:noWrap/>
            <w:vAlign w:val="bottom"/>
            <w:hideMark/>
          </w:tcPr>
          <w:p w14:paraId="0F491F85"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$417 </w:t>
            </w:r>
          </w:p>
        </w:tc>
        <w:tc>
          <w:tcPr>
            <w:tcW w:w="659" w:type="pct"/>
            <w:tcBorders>
              <w:bottom w:val="single" w:sz="4" w:space="0" w:color="auto"/>
            </w:tcBorders>
            <w:shd w:val="clear" w:color="000000" w:fill="FFFFFF"/>
            <w:noWrap/>
            <w:vAlign w:val="bottom"/>
            <w:hideMark/>
          </w:tcPr>
          <w:p w14:paraId="034AE64B"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$206 </w:t>
            </w:r>
          </w:p>
        </w:tc>
        <w:tc>
          <w:tcPr>
            <w:tcW w:w="571" w:type="pct"/>
            <w:tcBorders>
              <w:bottom w:val="single" w:sz="4" w:space="0" w:color="auto"/>
            </w:tcBorders>
            <w:shd w:val="clear" w:color="000000" w:fill="FFFFFF"/>
            <w:noWrap/>
            <w:vAlign w:val="bottom"/>
            <w:hideMark/>
          </w:tcPr>
          <w:p w14:paraId="6B718ED4"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$102 </w:t>
            </w:r>
          </w:p>
        </w:tc>
        <w:tc>
          <w:tcPr>
            <w:tcW w:w="574" w:type="pct"/>
            <w:tcBorders>
              <w:bottom w:val="single" w:sz="4" w:space="0" w:color="auto"/>
            </w:tcBorders>
            <w:shd w:val="clear" w:color="auto" w:fill="auto"/>
            <w:noWrap/>
            <w:vAlign w:val="bottom"/>
            <w:hideMark/>
          </w:tcPr>
          <w:p w14:paraId="7E815513" w14:textId="77777777" w:rsidR="000C7CFC" w:rsidRPr="00184DF0" w:rsidRDefault="000C7CFC" w:rsidP="000C7CFC">
            <w:pPr>
              <w:spacing w:after="0"/>
              <w:jc w:val="right"/>
              <w:rPr>
                <w:rFonts w:eastAsia="Times New Roman" w:cs="Times New Roman"/>
                <w:b/>
                <w:bCs/>
                <w:color w:val="000000"/>
                <w:sz w:val="20"/>
                <w:szCs w:val="20"/>
              </w:rPr>
            </w:pPr>
            <w:r w:rsidRPr="00184DF0">
              <w:rPr>
                <w:rFonts w:eastAsia="Times New Roman" w:cs="Times New Roman"/>
                <w:b/>
                <w:bCs/>
                <w:color w:val="000000"/>
                <w:sz w:val="20"/>
                <w:szCs w:val="20"/>
              </w:rPr>
              <w:t xml:space="preserve">$89 </w:t>
            </w:r>
          </w:p>
        </w:tc>
      </w:tr>
      <w:tr w:rsidR="000C7CFC" w:rsidRPr="008B204E" w14:paraId="5D21EF5F" w14:textId="77777777" w:rsidTr="00C47566">
        <w:trPr>
          <w:trHeight w:val="20"/>
        </w:trPr>
        <w:tc>
          <w:tcPr>
            <w:tcW w:w="5000" w:type="pct"/>
            <w:gridSpan w:val="6"/>
            <w:tcBorders>
              <w:top w:val="single" w:sz="4" w:space="0" w:color="auto"/>
            </w:tcBorders>
            <w:shd w:val="clear" w:color="auto" w:fill="auto"/>
            <w:noWrap/>
            <w:vAlign w:val="bottom"/>
            <w:hideMark/>
          </w:tcPr>
          <w:p w14:paraId="016A112F" w14:textId="4B6B3C41" w:rsidR="000C7CFC" w:rsidRPr="00184DF0" w:rsidRDefault="000C7CFC" w:rsidP="004E78F8">
            <w:pPr>
              <w:spacing w:after="0"/>
              <w:rPr>
                <w:rFonts w:eastAsia="Times New Roman" w:cs="Times New Roman"/>
                <w:b/>
                <w:bCs/>
                <w:color w:val="000000"/>
                <w:sz w:val="20"/>
                <w:szCs w:val="20"/>
              </w:rPr>
            </w:pPr>
            <w:r w:rsidRPr="00184DF0">
              <w:rPr>
                <w:rFonts w:eastAsia="Times New Roman" w:cs="Times New Roman"/>
                <w:b/>
                <w:bCs/>
                <w:i/>
                <w:iCs/>
                <w:color w:val="000000"/>
                <w:sz w:val="20"/>
                <w:szCs w:val="20"/>
              </w:rPr>
              <w:t>Source</w:t>
            </w:r>
            <w:r w:rsidRPr="00184DF0">
              <w:rPr>
                <w:rFonts w:eastAsia="Times New Roman" w:cs="Times New Roman"/>
                <w:i/>
                <w:iCs/>
                <w:color w:val="000000"/>
                <w:sz w:val="20"/>
                <w:szCs w:val="20"/>
              </w:rPr>
              <w:t xml:space="preserve">: OMB </w:t>
            </w:r>
            <w:r w:rsidR="004E78F8">
              <w:rPr>
                <w:rFonts w:eastAsia="Times New Roman" w:cs="Times New Roman"/>
                <w:i/>
                <w:iCs/>
                <w:color w:val="000000"/>
                <w:sz w:val="20"/>
                <w:szCs w:val="20"/>
              </w:rPr>
              <w:t xml:space="preserve">Fiscal 2019 </w:t>
            </w:r>
            <w:r w:rsidRPr="00184DF0">
              <w:rPr>
                <w:rFonts w:eastAsia="Times New Roman" w:cs="Times New Roman"/>
                <w:i/>
                <w:iCs/>
                <w:color w:val="000000"/>
                <w:sz w:val="20"/>
                <w:szCs w:val="20"/>
              </w:rPr>
              <w:t xml:space="preserve">Preliminary Budget and </w:t>
            </w:r>
            <w:r w:rsidR="004E78F8">
              <w:rPr>
                <w:rFonts w:eastAsia="Times New Roman" w:cs="Times New Roman"/>
                <w:i/>
                <w:iCs/>
                <w:color w:val="000000"/>
                <w:sz w:val="20"/>
                <w:szCs w:val="20"/>
              </w:rPr>
              <w:t>Fiscal 2018 November Plan</w:t>
            </w:r>
            <w:r w:rsidRPr="00184DF0">
              <w:rPr>
                <w:rFonts w:eastAsia="Times New Roman" w:cs="Times New Roman"/>
                <w:i/>
                <w:iCs/>
                <w:color w:val="000000"/>
                <w:sz w:val="20"/>
                <w:szCs w:val="20"/>
              </w:rPr>
              <w:t>.</w:t>
            </w:r>
            <w:r w:rsidRPr="00184DF0">
              <w:rPr>
                <w:rFonts w:eastAsia="Times New Roman" w:cs="Times New Roman"/>
                <w:b/>
                <w:bCs/>
                <w:color w:val="000000"/>
                <w:sz w:val="20"/>
                <w:szCs w:val="20"/>
              </w:rPr>
              <w:t> </w:t>
            </w:r>
          </w:p>
        </w:tc>
      </w:tr>
    </w:tbl>
    <w:p w14:paraId="51743957" w14:textId="6639E4DE" w:rsidR="00EF40A7" w:rsidRDefault="00EF40A7" w:rsidP="00EF40A7">
      <w:pPr>
        <w:pStyle w:val="BodyText"/>
        <w:spacing w:before="1" w:after="1"/>
      </w:pPr>
    </w:p>
    <w:p w14:paraId="38DE14B1" w14:textId="763523A8" w:rsidR="00EF40A7" w:rsidRDefault="00EF40A7" w:rsidP="00EF40A7">
      <w:pPr>
        <w:pStyle w:val="BodyText"/>
        <w:spacing w:before="1" w:after="1"/>
      </w:pPr>
    </w:p>
    <w:p w14:paraId="6FA5E6C7" w14:textId="3F312BC0" w:rsidR="00EF40A7" w:rsidRDefault="00EF40A7" w:rsidP="00EF40A7">
      <w:pPr>
        <w:pStyle w:val="BodyText"/>
        <w:spacing w:before="1" w:after="1"/>
      </w:pPr>
    </w:p>
    <w:sectPr w:rsidR="00EF40A7" w:rsidSect="0015644E">
      <w:headerReference w:type="default" r:id="rId15"/>
      <w:footerReference w:type="default" r:id="rId16"/>
      <w:pgSz w:w="12240" w:h="15840"/>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0EB2" w14:textId="77777777" w:rsidR="00E62A0B" w:rsidRDefault="00E62A0B" w:rsidP="00B0224F">
      <w:pPr>
        <w:spacing w:after="0"/>
      </w:pPr>
      <w:r>
        <w:separator/>
      </w:r>
    </w:p>
  </w:endnote>
  <w:endnote w:type="continuationSeparator" w:id="0">
    <w:p w14:paraId="11EA935F" w14:textId="77777777" w:rsidR="00E62A0B" w:rsidRDefault="00E62A0B" w:rsidP="00B02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849B" w14:textId="2E607473" w:rsidR="00E62A0B" w:rsidRPr="00D73D4B" w:rsidRDefault="00E62A0B" w:rsidP="0015644E">
    <w:pPr>
      <w:pStyle w:val="Footer"/>
      <w:tabs>
        <w:tab w:val="clear" w:pos="4680"/>
        <w:tab w:val="clear" w:pos="9360"/>
      </w:tabs>
      <w:jc w:val="center"/>
      <w:rPr>
        <w:b/>
        <w:color w:val="000000" w:themeColor="text1"/>
        <w:sz w:val="22"/>
      </w:rPr>
    </w:pPr>
    <w:r w:rsidRPr="00D73D4B">
      <w:rPr>
        <w:b/>
        <w:caps/>
        <w:color w:val="000000" w:themeColor="text1"/>
        <w:sz w:val="22"/>
      </w:rPr>
      <w:fldChar w:fldCharType="begin"/>
    </w:r>
    <w:r w:rsidRPr="00D73D4B">
      <w:rPr>
        <w:b/>
        <w:caps/>
        <w:color w:val="000000" w:themeColor="text1"/>
        <w:sz w:val="22"/>
      </w:rPr>
      <w:instrText xml:space="preserve"> PAGE   \* MERGEFORMAT </w:instrText>
    </w:r>
    <w:r w:rsidRPr="00D73D4B">
      <w:rPr>
        <w:b/>
        <w:caps/>
        <w:color w:val="000000" w:themeColor="text1"/>
        <w:sz w:val="22"/>
      </w:rPr>
      <w:fldChar w:fldCharType="separate"/>
    </w:r>
    <w:r w:rsidR="00725FCF">
      <w:rPr>
        <w:b/>
        <w:caps/>
        <w:noProof/>
        <w:color w:val="000000" w:themeColor="text1"/>
        <w:sz w:val="22"/>
      </w:rPr>
      <w:t>16</w:t>
    </w:r>
    <w:r w:rsidRPr="00D73D4B">
      <w:rPr>
        <w:b/>
        <w:caps/>
        <w:noProof/>
        <w:color w:val="000000" w:themeColor="text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406D" w14:textId="77777777" w:rsidR="00E62A0B" w:rsidRDefault="00E62A0B" w:rsidP="00B0224F">
      <w:pPr>
        <w:spacing w:after="0"/>
      </w:pPr>
      <w:r>
        <w:separator/>
      </w:r>
    </w:p>
  </w:footnote>
  <w:footnote w:type="continuationSeparator" w:id="0">
    <w:p w14:paraId="48F5C727" w14:textId="77777777" w:rsidR="00E62A0B" w:rsidRDefault="00E62A0B" w:rsidP="00B0224F">
      <w:pPr>
        <w:spacing w:after="0"/>
      </w:pPr>
      <w:r>
        <w:continuationSeparator/>
      </w:r>
    </w:p>
  </w:footnote>
  <w:footnote w:id="1">
    <w:p w14:paraId="138F6F9C" w14:textId="0820F387" w:rsidR="00E62A0B" w:rsidRPr="002871AC" w:rsidRDefault="00E62A0B">
      <w:pPr>
        <w:pStyle w:val="FootnoteText"/>
      </w:pPr>
      <w:r w:rsidRPr="002871AC">
        <w:rPr>
          <w:rStyle w:val="FootnoteReference"/>
        </w:rPr>
        <w:footnoteRef/>
      </w:r>
      <w:r w:rsidRPr="002871AC">
        <w:t xml:space="preserve"> IHS Markit, ‘Executive Summaries,’ February 2018.</w:t>
      </w:r>
    </w:p>
  </w:footnote>
  <w:footnote w:id="2">
    <w:p w14:paraId="00B96C9F" w14:textId="1C7B3BEE" w:rsidR="00E62A0B" w:rsidRPr="002871AC" w:rsidRDefault="00E62A0B" w:rsidP="00113F91">
      <w:pPr>
        <w:pStyle w:val="FootnoteText"/>
      </w:pPr>
      <w:r w:rsidRPr="002871AC">
        <w:rPr>
          <w:rStyle w:val="FootnoteReference"/>
        </w:rPr>
        <w:footnoteRef/>
      </w:r>
      <w:r w:rsidRPr="002871AC">
        <w:t xml:space="preserve"> As percent of GDP, exports have risen by 3.3% and fixed investment in industrial equipment has grown 7.1%.</w:t>
      </w:r>
    </w:p>
  </w:footnote>
  <w:footnote w:id="3">
    <w:p w14:paraId="318C9ADA" w14:textId="6C904A43" w:rsidR="00E62A0B" w:rsidRPr="002871AC" w:rsidRDefault="00E62A0B">
      <w:pPr>
        <w:pStyle w:val="FootnoteText"/>
      </w:pPr>
      <w:r w:rsidRPr="002871AC">
        <w:rPr>
          <w:rStyle w:val="FootnoteReference"/>
        </w:rPr>
        <w:footnoteRef/>
      </w:r>
      <w:r w:rsidRPr="002871AC">
        <w:t xml:space="preserve"> IHS Markit, </w:t>
      </w:r>
      <w:r w:rsidRPr="002871AC">
        <w:rPr>
          <w:u w:val="single"/>
        </w:rPr>
        <w:t>supra</w:t>
      </w:r>
    </w:p>
  </w:footnote>
  <w:footnote w:id="4">
    <w:p w14:paraId="14D1E717" w14:textId="6D02D212" w:rsidR="00E62A0B" w:rsidRPr="002871AC" w:rsidRDefault="00E62A0B">
      <w:pPr>
        <w:pStyle w:val="FootnoteText"/>
      </w:pPr>
      <w:r w:rsidRPr="002871AC">
        <w:rPr>
          <w:rStyle w:val="FootnoteReference"/>
        </w:rPr>
        <w:footnoteRef/>
      </w:r>
      <w:r w:rsidRPr="002871AC">
        <w:t xml:space="preserve">  IHS Markit, </w:t>
      </w:r>
      <w:r w:rsidRPr="002871AC">
        <w:rPr>
          <w:u w:val="single"/>
        </w:rPr>
        <w:t>supra</w:t>
      </w:r>
    </w:p>
  </w:footnote>
  <w:footnote w:id="5">
    <w:p w14:paraId="6488C509" w14:textId="5775A598" w:rsidR="00E62A0B" w:rsidRPr="002871AC" w:rsidRDefault="00E62A0B">
      <w:pPr>
        <w:pStyle w:val="FootnoteText"/>
      </w:pPr>
      <w:r w:rsidRPr="002871AC">
        <w:rPr>
          <w:rStyle w:val="FootnoteReference"/>
        </w:rPr>
        <w:footnoteRef/>
      </w:r>
      <w:r w:rsidRPr="002871AC">
        <w:t xml:space="preserve"> U.S. Bureau of Labor Statistics, ‘Employment Situation,’ January 2018.</w:t>
      </w:r>
    </w:p>
  </w:footnote>
  <w:footnote w:id="6">
    <w:p w14:paraId="6102541A" w14:textId="6FD541E6" w:rsidR="00E62A0B" w:rsidRPr="002871AC" w:rsidRDefault="00E62A0B">
      <w:pPr>
        <w:pStyle w:val="FootnoteText"/>
      </w:pPr>
      <w:r w:rsidRPr="002871AC">
        <w:rPr>
          <w:rStyle w:val="FootnoteReference"/>
        </w:rPr>
        <w:footnoteRef/>
      </w:r>
      <w:r w:rsidRPr="002871AC">
        <w:t xml:space="preserve">IHS Markit, </w:t>
      </w:r>
      <w:r w:rsidRPr="002871AC">
        <w:rPr>
          <w:u w:val="single"/>
        </w:rPr>
        <w:t>supra</w:t>
      </w:r>
      <w:r w:rsidRPr="002871AC">
        <w:t xml:space="preserve"> </w:t>
      </w:r>
    </w:p>
  </w:footnote>
  <w:footnote w:id="7">
    <w:p w14:paraId="4D2DE8E6" w14:textId="634E1162" w:rsidR="00E62A0B" w:rsidRPr="002871AC" w:rsidRDefault="00E62A0B">
      <w:pPr>
        <w:pStyle w:val="FootnoteText"/>
      </w:pPr>
      <w:r w:rsidRPr="002871AC">
        <w:rPr>
          <w:rStyle w:val="FootnoteReference"/>
        </w:rPr>
        <w:footnoteRef/>
      </w:r>
      <w:r w:rsidRPr="002871AC">
        <w:t xml:space="preserve"> IHS Markit, </w:t>
      </w:r>
      <w:r w:rsidRPr="002871AC">
        <w:rPr>
          <w:u w:val="single"/>
        </w:rPr>
        <w:t>supra</w:t>
      </w:r>
      <w:r w:rsidRPr="002871AC" w:rsidDel="006E6B40">
        <w:t xml:space="preserve"> </w:t>
      </w:r>
    </w:p>
  </w:footnote>
  <w:footnote w:id="8">
    <w:p w14:paraId="402B895A" w14:textId="44FDCE1E" w:rsidR="00E62A0B" w:rsidRPr="002871AC" w:rsidRDefault="00E62A0B">
      <w:pPr>
        <w:pStyle w:val="FootnoteText"/>
      </w:pPr>
      <w:r w:rsidRPr="002871AC">
        <w:rPr>
          <w:rStyle w:val="FootnoteReference"/>
        </w:rPr>
        <w:footnoteRef/>
      </w:r>
      <w:r w:rsidRPr="002871AC">
        <w:t xml:space="preserve">  IHS Markit, </w:t>
      </w:r>
      <w:r w:rsidRPr="002871AC">
        <w:rPr>
          <w:u w:val="single"/>
        </w:rPr>
        <w:t>supra</w:t>
      </w:r>
    </w:p>
  </w:footnote>
  <w:footnote w:id="9">
    <w:p w14:paraId="43B56B0D" w14:textId="798E49CF" w:rsidR="00E62A0B" w:rsidRPr="002871AC" w:rsidRDefault="00E62A0B" w:rsidP="00CF7BA7">
      <w:pPr>
        <w:pStyle w:val="FootnoteText"/>
      </w:pPr>
      <w:r w:rsidRPr="002871AC">
        <w:rPr>
          <w:rStyle w:val="FootnoteReference"/>
        </w:rPr>
        <w:footnoteRef/>
      </w:r>
      <w:r w:rsidRPr="002871AC">
        <w:t xml:space="preserve"> Both the Congressional Budget Office and Joint Committee on Taxation estimate increased deficits of around one trillion dollars over ten years. Joint Committee on Taxation, Macroeconomic Analysis of the Conference Agreement for H.R.1, the “Tax Cuts and Jobs Act”” JCX-69-17 December 22, 2017,  Congressional Budget Office, Congressional Budget Office, “</w:t>
      </w:r>
      <w:r w:rsidRPr="002871AC">
        <w:rPr>
          <w:bCs/>
        </w:rPr>
        <w:t>Estimated deficits and debt under the Chairman’s Mark of the Tax Cuts and Jobs Act”, November 13, 2017.</w:t>
      </w:r>
    </w:p>
  </w:footnote>
  <w:footnote w:id="10">
    <w:p w14:paraId="43192895" w14:textId="34E52BF4" w:rsidR="00E62A0B" w:rsidRDefault="00E62A0B">
      <w:pPr>
        <w:pStyle w:val="FootnoteText"/>
      </w:pPr>
      <w:r w:rsidRPr="00F96695">
        <w:rPr>
          <w:rStyle w:val="FootnoteReference"/>
        </w:rPr>
        <w:footnoteRef/>
      </w:r>
      <w:r>
        <w:t xml:space="preserve"> Cushman &amp; Wakefield, Marketbeat: Manhattan Office Q4 2017</w:t>
      </w:r>
    </w:p>
  </w:footnote>
  <w:footnote w:id="11">
    <w:p w14:paraId="3D870505" w14:textId="1FB63F39" w:rsidR="00E62A0B" w:rsidRDefault="00E62A0B" w:rsidP="00CB7FEA">
      <w:pPr>
        <w:pStyle w:val="FootnoteText"/>
      </w:pPr>
      <w:r>
        <w:rPr>
          <w:rStyle w:val="FootnoteReference"/>
        </w:rPr>
        <w:footnoteRef/>
      </w:r>
      <w:r>
        <w:t xml:space="preserve"> Ibid.</w:t>
      </w:r>
    </w:p>
  </w:footnote>
  <w:footnote w:id="12">
    <w:p w14:paraId="7FD87870" w14:textId="5A710C5F" w:rsidR="00E62A0B" w:rsidRDefault="00E62A0B" w:rsidP="00CB7FEA">
      <w:pPr>
        <w:pStyle w:val="FootnoteText"/>
      </w:pPr>
      <w:r>
        <w:rPr>
          <w:rStyle w:val="FootnoteReference"/>
        </w:rPr>
        <w:footnoteRef/>
      </w:r>
      <w:r>
        <w:t xml:space="preserve"> Douglas Elliman Real Estate, Elliman Report: Manhattan, Brooklyn &amp; Queens Rentals, January 2018</w:t>
      </w:r>
    </w:p>
  </w:footnote>
  <w:footnote w:id="13">
    <w:p w14:paraId="1FABEBA5" w14:textId="06FE5AAC" w:rsidR="00E62A0B" w:rsidRDefault="00E62A0B">
      <w:pPr>
        <w:pStyle w:val="FootnoteText"/>
      </w:pPr>
      <w:r>
        <w:rPr>
          <w:rStyle w:val="FootnoteReference"/>
        </w:rPr>
        <w:footnoteRef/>
      </w:r>
      <w:r>
        <w:t xml:space="preserve">  Office of Management and Budget, “Forecast Documentation: February 2018 Financial Plan”</w:t>
      </w:r>
    </w:p>
  </w:footnote>
  <w:footnote w:id="14">
    <w:p w14:paraId="1FE2D540" w14:textId="3341F939" w:rsidR="00E62A0B" w:rsidRDefault="00E62A0B">
      <w:pPr>
        <w:pStyle w:val="FootnoteText"/>
      </w:pPr>
      <w:r>
        <w:rPr>
          <w:rStyle w:val="FootnoteReference"/>
        </w:rPr>
        <w:footnoteRef/>
      </w:r>
      <w:r>
        <w:t xml:space="preserve"> Office of Management and Budget, </w:t>
      </w:r>
      <w:r w:rsidRPr="004A7D51">
        <w:rPr>
          <w:u w:val="single"/>
        </w:rPr>
        <w:t>supra</w:t>
      </w:r>
    </w:p>
  </w:footnote>
  <w:footnote w:id="15">
    <w:p w14:paraId="5F8B375B" w14:textId="7FBB5DD1" w:rsidR="00E62A0B" w:rsidRDefault="00E62A0B">
      <w:pPr>
        <w:pStyle w:val="FootnoteText"/>
      </w:pPr>
      <w:r>
        <w:rPr>
          <w:rStyle w:val="FootnoteReference"/>
        </w:rPr>
        <w:footnoteRef/>
      </w:r>
      <w:r>
        <w:t xml:space="preserve"> </w:t>
      </w:r>
      <w:r w:rsidRPr="000C7C8D">
        <w:t>OMB forecasts</w:t>
      </w:r>
      <w:r>
        <w:t xml:space="preserve"> wages for</w:t>
      </w:r>
      <w:r w:rsidRPr="000C7C8D">
        <w:t xml:space="preserve"> both the private and public sectors, while the Finance Division</w:t>
      </w:r>
      <w:r>
        <w:t>’s</w:t>
      </w:r>
      <w:r w:rsidRPr="000C7C8D">
        <w:t xml:space="preserve"> forecasts are</w:t>
      </w:r>
      <w:r>
        <w:t xml:space="preserve"> confined to the private sector.</w:t>
      </w:r>
    </w:p>
  </w:footnote>
  <w:footnote w:id="16">
    <w:p w14:paraId="3D509E03" w14:textId="1D74DCE0" w:rsidR="00E62A0B" w:rsidRDefault="00E62A0B" w:rsidP="00636828">
      <w:pPr>
        <w:pStyle w:val="FootnoteText"/>
      </w:pPr>
      <w:r>
        <w:rPr>
          <w:rStyle w:val="FootnoteReference"/>
        </w:rPr>
        <w:footnoteRef/>
      </w:r>
      <w:r>
        <w:t xml:space="preserve"> The State’s School Tax Relief (STAR) program has subsidized the New York City PIT payers by paying a share of their taxes.  This resulted in tax rates lower than they would normally be in the absence of the subsidy. The State reimbursed the City for the resulting reduced tax revenues through STAR aid.  Starting in tax year 2017, the State changed the structure of the aid by stopping the subsidy to the City’s PIT payers and giving taxpayers a State credit on their State PIT. The State also discontinued the STAR aid to the City. </w:t>
      </w:r>
    </w:p>
  </w:footnote>
  <w:footnote w:id="17">
    <w:p w14:paraId="0CF15840" w14:textId="7CC61237" w:rsidR="00E62A0B" w:rsidRDefault="00E62A0B" w:rsidP="001B181A">
      <w:pPr>
        <w:pStyle w:val="FootnoteText"/>
      </w:pPr>
      <w:r>
        <w:rPr>
          <w:rStyle w:val="FootnoteReference"/>
        </w:rPr>
        <w:footnoteRef/>
      </w:r>
      <w:r>
        <w:t xml:space="preserve"> </w:t>
      </w:r>
      <w:r w:rsidRPr="00B60371">
        <w:t xml:space="preserve">This section briefly discusses the impact of the </w:t>
      </w:r>
      <w:r>
        <w:t>TCJA</w:t>
      </w:r>
      <w:r w:rsidRPr="00B60371">
        <w:t xml:space="preserve"> on the national economy, New York City taxes and tax revenue. For details on the impacts on City taxpayers and the City budget, including how the City could respond to the changes in the Act, see the</w:t>
      </w:r>
      <w:r>
        <w:t xml:space="preserve"> report of the</w:t>
      </w:r>
      <w:r w:rsidRPr="00B60371">
        <w:t xml:space="preserve"> Council’s Committee on Finance for the oversight hearing</w:t>
      </w:r>
      <w:r>
        <w:t xml:space="preserve"> </w:t>
      </w:r>
      <w:r w:rsidRPr="00B60371">
        <w:t>held on February 26, 2018</w:t>
      </w:r>
      <w:r>
        <w:t xml:space="preserve"> entitled “Impact of the Federal Tax Law on New York City.” </w:t>
      </w:r>
    </w:p>
  </w:footnote>
  <w:footnote w:id="18">
    <w:p w14:paraId="585258D9" w14:textId="719D651B" w:rsidR="00E62A0B" w:rsidRDefault="00E62A0B">
      <w:pPr>
        <w:pStyle w:val="FootnoteText"/>
      </w:pPr>
      <w:r>
        <w:rPr>
          <w:rStyle w:val="FootnoteReference"/>
        </w:rPr>
        <w:footnoteRef/>
      </w:r>
      <w:r>
        <w:t xml:space="preserve"> Public Law 115-97 (Dec. 22, 2017) </w:t>
      </w:r>
    </w:p>
  </w:footnote>
  <w:footnote w:id="19">
    <w:p w14:paraId="65E82C91" w14:textId="443F21B1" w:rsidR="00E62A0B" w:rsidRDefault="00E62A0B">
      <w:pPr>
        <w:pStyle w:val="FootnoteText"/>
      </w:pPr>
      <w:r>
        <w:rPr>
          <w:rStyle w:val="FootnoteReference"/>
        </w:rPr>
        <w:footnoteRef/>
      </w:r>
      <w:r>
        <w:t xml:space="preserve"> A territorial tax system taxes earnings within a country’s boarders rather than global earnings. New York City has a territorial tax system. Under TCJA the United States will have a territorial tax system for business.</w:t>
      </w:r>
    </w:p>
  </w:footnote>
  <w:footnote w:id="20">
    <w:p w14:paraId="21D3382A" w14:textId="77777777" w:rsidR="00E62A0B" w:rsidRDefault="00E62A0B" w:rsidP="00085C8A">
      <w:pPr>
        <w:pStyle w:val="FootnoteText"/>
        <w:jc w:val="left"/>
      </w:pPr>
      <w:r>
        <w:rPr>
          <w:rStyle w:val="FootnoteReference"/>
        </w:rPr>
        <w:footnoteRef/>
      </w:r>
      <w:r>
        <w:t xml:space="preserve"> </w:t>
      </w:r>
      <w:r w:rsidRPr="00882DC0">
        <w:t>IHS Markit, “Macroeconomic Briefing Webcast”, January 16, 2018.</w:t>
      </w:r>
      <w:r>
        <w:t xml:space="preserve"> </w:t>
      </w:r>
      <w:hyperlink r:id="rId1" w:history="1">
        <w:r w:rsidRPr="00AA5C17">
          <w:rPr>
            <w:rStyle w:val="Hyperlink"/>
          </w:rPr>
          <w:t>https://event.on24.com/eventRegistration/EventLobbyServlet?target=reg20.jsp&amp;mode=login&amp;loginemail=undefined&amp;eventid=1580397&amp;sessionid=1&amp;key=1E7D8253E3D62C13B4EC5FC8B443B762&amp;regTag=&amp;sourcepage=register</w:t>
        </w:r>
      </w:hyperlink>
      <w:r>
        <w:t xml:space="preserve"> </w:t>
      </w:r>
    </w:p>
  </w:footnote>
  <w:footnote w:id="21">
    <w:p w14:paraId="3F1E5D7A" w14:textId="77777777" w:rsidR="00E62A0B" w:rsidRDefault="00E62A0B" w:rsidP="00665306">
      <w:pPr>
        <w:pStyle w:val="FootnoteText"/>
        <w:jc w:val="left"/>
      </w:pPr>
      <w:r>
        <w:rPr>
          <w:rStyle w:val="FootnoteReference"/>
        </w:rPr>
        <w:footnoteRef/>
      </w:r>
      <w:r>
        <w:t xml:space="preserve"> Joint Committee on Taxation, “Macroeconomic Analysis of the Conference Agreement for H.R. 1, The Tax Cuts and Jobs Act”, December 22, 2017. </w:t>
      </w:r>
      <w:hyperlink r:id="rId2" w:history="1">
        <w:r w:rsidRPr="00AA5C17">
          <w:rPr>
            <w:rStyle w:val="Hyperlink"/>
          </w:rPr>
          <w:t>https://www.jct.gov/publications.html?func=startdown&amp;id=5055</w:t>
        </w:r>
      </w:hyperlink>
      <w:r>
        <w:t xml:space="preserve"> </w:t>
      </w:r>
    </w:p>
  </w:footnote>
  <w:footnote w:id="22">
    <w:p w14:paraId="0AF4F055" w14:textId="77777777" w:rsidR="00E62A0B" w:rsidRDefault="00E62A0B" w:rsidP="001B181A">
      <w:pPr>
        <w:pStyle w:val="FootnoteText"/>
      </w:pPr>
      <w:r>
        <w:rPr>
          <w:rStyle w:val="FootnoteReference"/>
        </w:rPr>
        <w:footnoteRef/>
      </w:r>
      <w:r>
        <w:t xml:space="preserve"> IRS, Statistics of Income Division, Individual Master File System, August 2017.</w:t>
      </w:r>
    </w:p>
  </w:footnote>
  <w:footnote w:id="23">
    <w:p w14:paraId="67F8E865" w14:textId="7970839B" w:rsidR="00E62A0B" w:rsidRDefault="00E62A0B">
      <w:pPr>
        <w:pStyle w:val="FootnoteText"/>
      </w:pPr>
      <w:r>
        <w:rPr>
          <w:rStyle w:val="FootnoteReference"/>
        </w:rPr>
        <w:footnoteRef/>
      </w:r>
      <w:r>
        <w:t xml:space="preserve"> Finance Division calculations based upon personal income tax data.</w:t>
      </w:r>
    </w:p>
  </w:footnote>
  <w:footnote w:id="24">
    <w:p w14:paraId="71B4ACA4" w14:textId="77777777" w:rsidR="00E62A0B" w:rsidRDefault="00E62A0B" w:rsidP="001B181A">
      <w:pPr>
        <w:pStyle w:val="FootnoteText"/>
      </w:pPr>
      <w:r>
        <w:rPr>
          <w:rStyle w:val="FootnoteReference"/>
        </w:rPr>
        <w:footnoteRef/>
      </w:r>
      <w:r>
        <w:t xml:space="preserve"> Will Parker, Chava Gourarie, “Tax Overhaul…for Better or Worse”, The Real Deal, January 1, 2018.</w:t>
      </w:r>
    </w:p>
  </w:footnote>
  <w:footnote w:id="25">
    <w:p w14:paraId="187B2937" w14:textId="7367CC19" w:rsidR="00E62A0B" w:rsidRDefault="00E62A0B">
      <w:pPr>
        <w:pStyle w:val="FootnoteText"/>
      </w:pPr>
      <w:r>
        <w:rPr>
          <w:rStyle w:val="FootnoteReference"/>
        </w:rPr>
        <w:footnoteRef/>
      </w:r>
      <w:r>
        <w:t xml:space="preserve"> For more information, please see the report of the New York City Council Committee on Finance for the Committee’s February 26, 2018 hearing.</w:t>
      </w:r>
    </w:p>
  </w:footnote>
  <w:footnote w:id="26">
    <w:p w14:paraId="3B4FFF86" w14:textId="77777777" w:rsidR="00E62A0B" w:rsidRDefault="00E62A0B" w:rsidP="001B181A">
      <w:pPr>
        <w:pStyle w:val="FootnoteText"/>
      </w:pPr>
      <w:r>
        <w:rPr>
          <w:rStyle w:val="FootnoteReference"/>
        </w:rPr>
        <w:footnoteRef/>
      </w:r>
      <w:r>
        <w:t xml:space="preserve"> Council Finance estimate using data from the State Department of Taxation and Finance, and the Internal Revenue Services.</w:t>
      </w:r>
    </w:p>
  </w:footnote>
  <w:footnote w:id="27">
    <w:p w14:paraId="5E9F7CCA" w14:textId="3568A445" w:rsidR="00E62A0B" w:rsidRDefault="00E62A0B">
      <w:pPr>
        <w:pStyle w:val="FootnoteText"/>
      </w:pPr>
      <w:r>
        <w:rPr>
          <w:rStyle w:val="FootnoteReference"/>
        </w:rPr>
        <w:footnoteRef/>
      </w:r>
      <w:r>
        <w:t xml:space="preserve"> For more information, please see the report of the New York City Council Committee on Finance for the Committee’s February 26, 2018 hearing.</w:t>
      </w:r>
    </w:p>
  </w:footnote>
  <w:footnote w:id="28">
    <w:p w14:paraId="0D207DD5" w14:textId="77777777" w:rsidR="00E62A0B" w:rsidRDefault="00E62A0B" w:rsidP="00FB12F1">
      <w:pPr>
        <w:pStyle w:val="FootnoteText"/>
      </w:pPr>
      <w:r>
        <w:rPr>
          <w:rStyle w:val="FootnoteReference"/>
        </w:rPr>
        <w:footnoteRef/>
      </w:r>
      <w:r>
        <w:t xml:space="preserve"> William C Dudley, “</w:t>
      </w:r>
      <w:r w:rsidRPr="0041413B">
        <w:t>The Outlook for the U.S. Economy in 2018 and Beyond</w:t>
      </w:r>
      <w:r>
        <w:t>”, Speech before the S</w:t>
      </w:r>
      <w:r w:rsidRPr="0041413B">
        <w:t>ecurities Industry and Financial Markets Association, New York City</w:t>
      </w:r>
      <w:r>
        <w:t xml:space="preserve">, </w:t>
      </w:r>
      <w:r w:rsidRPr="0041413B">
        <w:t>January 11, 2018</w:t>
      </w:r>
      <w:r>
        <w:t>.</w:t>
      </w:r>
    </w:p>
  </w:footnote>
  <w:footnote w:id="29">
    <w:p w14:paraId="6FBEF555" w14:textId="77777777" w:rsidR="00E62A0B" w:rsidRDefault="00E62A0B" w:rsidP="004A75E7">
      <w:pPr>
        <w:pStyle w:val="FootnoteText"/>
      </w:pPr>
      <w:r>
        <w:rPr>
          <w:rStyle w:val="FootnoteReference"/>
        </w:rPr>
        <w:footnoteRef/>
      </w:r>
      <w:r>
        <w:t xml:space="preserve"> IHS Market, “</w:t>
      </w:r>
      <w:r w:rsidRPr="00EA0D09">
        <w:t>US Executive Summary</w:t>
      </w:r>
      <w:r>
        <w:t>” January 2018.</w:t>
      </w:r>
    </w:p>
  </w:footnote>
  <w:footnote w:id="30">
    <w:p w14:paraId="3ADAF377" w14:textId="77777777" w:rsidR="00E62A0B" w:rsidRDefault="00E62A0B" w:rsidP="001B181A">
      <w:pPr>
        <w:pStyle w:val="FootnoteText"/>
      </w:pPr>
      <w:r>
        <w:rPr>
          <w:rStyle w:val="FootnoteReference"/>
        </w:rPr>
        <w:footnoteRef/>
      </w:r>
      <w:r>
        <w:t xml:space="preserve"> Nicole Gelinas, “</w:t>
      </w:r>
      <w:r w:rsidRPr="00287E8E">
        <w:rPr>
          <w:bCs/>
        </w:rPr>
        <w:t>Good Times for America Mean Trouble for New York City</w:t>
      </w:r>
      <w:r>
        <w:rPr>
          <w:bCs/>
        </w:rPr>
        <w:t xml:space="preserve">” New York Post,, </w:t>
      </w:r>
      <w:r w:rsidRPr="00287E8E">
        <w:t>February 5, 2018</w:t>
      </w:r>
    </w:p>
  </w:footnote>
  <w:footnote w:id="31">
    <w:p w14:paraId="7CBAE881" w14:textId="77777777" w:rsidR="00E62A0B" w:rsidRDefault="00E62A0B" w:rsidP="00085C8A">
      <w:pPr>
        <w:pStyle w:val="FootnoteText"/>
        <w:jc w:val="left"/>
      </w:pPr>
      <w:r>
        <w:rPr>
          <w:rStyle w:val="FootnoteReference"/>
        </w:rPr>
        <w:footnoteRef/>
      </w:r>
      <w:r>
        <w:t xml:space="preserve"> Matt Egan “</w:t>
      </w:r>
      <w:r w:rsidRPr="00164FB6">
        <w:t>Dow plunges 1,033 points and sinks into correction</w:t>
      </w:r>
      <w:r>
        <w:t xml:space="preserve">” </w:t>
      </w:r>
      <w:hyperlink r:id="rId3" w:history="1">
        <w:r w:rsidRPr="00663CA5">
          <w:rPr>
            <w:rStyle w:val="Hyperlink"/>
          </w:rPr>
          <w:t>http://money.cnn.com/2018/02/08/investing/dow-jones-stock-market/index.html</w:t>
        </w:r>
      </w:hyperlink>
    </w:p>
  </w:footnote>
  <w:footnote w:id="32">
    <w:p w14:paraId="0BEE8090" w14:textId="77777777" w:rsidR="00E62A0B" w:rsidRDefault="00E62A0B" w:rsidP="00085C8A">
      <w:pPr>
        <w:pStyle w:val="FootnoteText"/>
        <w:jc w:val="left"/>
      </w:pPr>
      <w:r>
        <w:rPr>
          <w:rStyle w:val="FootnoteReference"/>
        </w:rPr>
        <w:footnoteRef/>
      </w:r>
      <w:r>
        <w:t xml:space="preserve"> </w:t>
      </w:r>
      <w:r w:rsidRPr="008F0359">
        <w:t xml:space="preserve">Khurshid, Samar. "Under 'Threat' From D.C. And Albany, De Blasio Presents $88.67 Billion Preliminary Budget." Gotham Gazette. 2018. </w:t>
      </w:r>
      <w:hyperlink r:id="rId4" w:history="1">
        <w:r w:rsidRPr="001126E3">
          <w:rPr>
            <w:rStyle w:val="Hyperlink"/>
          </w:rPr>
          <w:t>http://www.gothamgazette.com/city/7455-under-threat-from-dc-and-albany-de-blasio-presents-88-67-billion-preliminary-budget</w:t>
        </w:r>
      </w:hyperlink>
      <w:r>
        <w:t xml:space="preserve"> </w:t>
      </w:r>
    </w:p>
  </w:footnote>
  <w:footnote w:id="33">
    <w:p w14:paraId="4861FDCE" w14:textId="4728BE20" w:rsidR="00E62A0B" w:rsidRPr="00113555" w:rsidRDefault="00E62A0B" w:rsidP="00085C8A">
      <w:pPr>
        <w:pStyle w:val="FootnoteText"/>
        <w:jc w:val="left"/>
        <w:rPr>
          <w:b/>
          <w:bCs/>
        </w:rPr>
      </w:pPr>
      <w:r>
        <w:rPr>
          <w:rStyle w:val="FootnoteReference"/>
        </w:rPr>
        <w:footnoteRef/>
      </w:r>
      <w:r>
        <w:t xml:space="preserve"> David Reich, “</w:t>
      </w:r>
      <w:r w:rsidRPr="00997523">
        <w:rPr>
          <w:bCs/>
        </w:rPr>
        <w:t>Non-Defense Discretionary Funding Increases Under Bipartisan Deal Yet Remains Below Earlier Levels</w:t>
      </w:r>
      <w:r>
        <w:rPr>
          <w:bCs/>
        </w:rPr>
        <w:t xml:space="preserve">” </w:t>
      </w:r>
      <w:hyperlink r:id="rId5" w:history="1">
        <w:r w:rsidRPr="00755AB4">
          <w:rPr>
            <w:rStyle w:val="Hyperlink"/>
            <w:bCs/>
          </w:rPr>
          <w:t>https://www.cbpp.org/blog/non-defense-discretionary-funding-increases-under-bipartisan-deal-yet-remains-below-earlier</w:t>
        </w:r>
      </w:hyperlink>
    </w:p>
  </w:footnote>
  <w:footnote w:id="34">
    <w:p w14:paraId="7252AB6A" w14:textId="77777777" w:rsidR="00E62A0B" w:rsidRPr="00932E80" w:rsidRDefault="00E62A0B" w:rsidP="00085C8A">
      <w:pPr>
        <w:pStyle w:val="FootnoteText"/>
        <w:jc w:val="left"/>
      </w:pPr>
      <w:r>
        <w:rPr>
          <w:rStyle w:val="FootnoteReference"/>
        </w:rPr>
        <w:footnoteRef/>
      </w:r>
      <w:r>
        <w:t xml:space="preserve"> Statement from NYCHA Chair and CEO Shola Olatoye on the President’s Budget, </w:t>
      </w:r>
      <w:r w:rsidRPr="00932E80">
        <w:t xml:space="preserve"> </w:t>
      </w:r>
      <w:hyperlink r:id="rId6" w:history="1">
        <w:r w:rsidRPr="001F5FA1">
          <w:rPr>
            <w:rStyle w:val="Hyperlink"/>
          </w:rPr>
          <w:t>http://www1.nyc.gov/assets/nycha/downloads/pdf/chair-shola-olatoye-on-the-presidents-budget.pdf</w:t>
        </w:r>
      </w:hyperlink>
    </w:p>
  </w:footnote>
  <w:footnote w:id="35">
    <w:p w14:paraId="1AE6FC7F" w14:textId="64D2438E" w:rsidR="00E62A0B" w:rsidRDefault="00E62A0B" w:rsidP="001B181A">
      <w:pPr>
        <w:pStyle w:val="FootnoteText"/>
      </w:pPr>
      <w:r>
        <w:rPr>
          <w:rStyle w:val="FootnoteReference"/>
        </w:rPr>
        <w:footnoteRef/>
      </w:r>
      <w:r>
        <w:t xml:space="preserve"> </w:t>
      </w:r>
      <w:hyperlink r:id="rId7" w:history="1">
        <w:r w:rsidRPr="001F5FA1">
          <w:rPr>
            <w:rStyle w:val="Hyperlink"/>
          </w:rPr>
          <w:t>http://nymag.com/daily/intelligencer/2018/02/4-reasons-to-ignore-trumps-budget.html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B7CA" w14:textId="184AE2E6" w:rsidR="00E62A0B" w:rsidRDefault="00E62A0B" w:rsidP="001741AB">
    <w:pPr>
      <w:pStyle w:val="Header"/>
      <w:pBdr>
        <w:bottom w:val="single" w:sz="4" w:space="1" w:color="auto"/>
      </w:pBdr>
      <w:tabs>
        <w:tab w:val="right" w:pos="9720"/>
      </w:tabs>
    </w:pPr>
    <w:r w:rsidRPr="006418B2">
      <w:rPr>
        <w:sz w:val="20"/>
        <w:szCs w:val="20"/>
      </w:rPr>
      <w:t>Finance Division Briefing Paper</w:t>
    </w:r>
    <w:r w:rsidRPr="006418B2">
      <w:rPr>
        <w:sz w:val="20"/>
        <w:szCs w:val="20"/>
      </w:rPr>
      <w:tab/>
    </w:r>
    <w:r w:rsidRPr="006418B2">
      <w:rPr>
        <w:sz w:val="20"/>
        <w:szCs w:val="20"/>
      </w:rPr>
      <w:tab/>
    </w:r>
    <w:r w:rsidR="005C2E1F">
      <w:rPr>
        <w:sz w:val="20"/>
        <w:szCs w:val="20"/>
      </w:rPr>
      <w:t>Economic and Revenue Forecast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D172" w14:textId="282EDD4D" w:rsidR="00E62A0B" w:rsidRDefault="00E62A0B" w:rsidP="001741AB">
    <w:pPr>
      <w:pStyle w:val="Header"/>
      <w:pBdr>
        <w:bottom w:val="single" w:sz="4" w:space="1" w:color="auto"/>
      </w:pBdr>
      <w:tabs>
        <w:tab w:val="right" w:pos="9720"/>
      </w:tabs>
    </w:pPr>
    <w:r w:rsidRPr="006418B2">
      <w:rPr>
        <w:sz w:val="20"/>
        <w:szCs w:val="20"/>
      </w:rPr>
      <w:t>Finance Division Briefing Paper</w:t>
    </w:r>
    <w:r w:rsidRPr="006418B2">
      <w:rPr>
        <w:sz w:val="20"/>
        <w:szCs w:val="20"/>
      </w:rPr>
      <w:tab/>
    </w:r>
    <w:r w:rsidRPr="006418B2">
      <w:rPr>
        <w:sz w:val="20"/>
        <w:szCs w:val="20"/>
      </w:rPr>
      <w:tab/>
    </w:r>
    <w:r w:rsidR="005C2E1F">
      <w:rPr>
        <w:sz w:val="20"/>
        <w:szCs w:val="20"/>
      </w:rPr>
      <w:t>Economic and Revenue Forecast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BCE9" w14:textId="2EB7454B" w:rsidR="00E62A0B" w:rsidRPr="00BA71A0" w:rsidRDefault="00E62A0B" w:rsidP="00BA71A0">
    <w:pPr>
      <w:pStyle w:val="Header"/>
      <w:pBdr>
        <w:bottom w:val="single" w:sz="4" w:space="1" w:color="auto"/>
      </w:pBdr>
      <w:tabs>
        <w:tab w:val="right" w:pos="9720"/>
      </w:tabs>
    </w:pPr>
    <w:r w:rsidRPr="006418B2">
      <w:rPr>
        <w:sz w:val="20"/>
        <w:szCs w:val="20"/>
      </w:rPr>
      <w:t>Finance Division Briefing Paper</w:t>
    </w:r>
    <w:r w:rsidRPr="006418B2">
      <w:rPr>
        <w:sz w:val="20"/>
        <w:szCs w:val="20"/>
      </w:rPr>
      <w:tab/>
    </w:r>
    <w:r w:rsidRPr="006418B2">
      <w:rPr>
        <w:sz w:val="20"/>
        <w:szCs w:val="20"/>
      </w:rPr>
      <w:tab/>
    </w:r>
    <w:r w:rsidR="005C2E1F">
      <w:rPr>
        <w:sz w:val="20"/>
        <w:szCs w:val="20"/>
      </w:rPr>
      <w:t>Economic and Revenue Forecast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54D"/>
    <w:multiLevelType w:val="hybridMultilevel"/>
    <w:tmpl w:val="2082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928"/>
    <w:multiLevelType w:val="hybridMultilevel"/>
    <w:tmpl w:val="FF1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71C3F"/>
    <w:multiLevelType w:val="hybridMultilevel"/>
    <w:tmpl w:val="BFDE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AE284D"/>
    <w:multiLevelType w:val="hybridMultilevel"/>
    <w:tmpl w:val="B3CC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CF7C10"/>
    <w:multiLevelType w:val="hybridMultilevel"/>
    <w:tmpl w:val="98A2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06C77"/>
    <w:multiLevelType w:val="hybridMultilevel"/>
    <w:tmpl w:val="6E80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15C4A"/>
    <w:multiLevelType w:val="hybridMultilevel"/>
    <w:tmpl w:val="C14A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4655"/>
    <w:multiLevelType w:val="hybridMultilevel"/>
    <w:tmpl w:val="D77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7D38"/>
    <w:multiLevelType w:val="hybridMultilevel"/>
    <w:tmpl w:val="33A2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93D1B"/>
    <w:multiLevelType w:val="hybridMultilevel"/>
    <w:tmpl w:val="3FC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73CEA"/>
    <w:multiLevelType w:val="hybridMultilevel"/>
    <w:tmpl w:val="54E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75B58"/>
    <w:multiLevelType w:val="hybridMultilevel"/>
    <w:tmpl w:val="DF40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A07E9"/>
    <w:multiLevelType w:val="hybridMultilevel"/>
    <w:tmpl w:val="37308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A35A19"/>
    <w:multiLevelType w:val="hybridMultilevel"/>
    <w:tmpl w:val="EB60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795609"/>
    <w:multiLevelType w:val="hybridMultilevel"/>
    <w:tmpl w:val="407E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34671"/>
    <w:multiLevelType w:val="hybridMultilevel"/>
    <w:tmpl w:val="BC908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3"/>
  </w:num>
  <w:num w:numId="4">
    <w:abstractNumId w:val="15"/>
  </w:num>
  <w:num w:numId="5">
    <w:abstractNumId w:val="7"/>
  </w:num>
  <w:num w:numId="6">
    <w:abstractNumId w:val="8"/>
  </w:num>
  <w:num w:numId="7">
    <w:abstractNumId w:val="2"/>
  </w:num>
  <w:num w:numId="8">
    <w:abstractNumId w:val="6"/>
  </w:num>
  <w:num w:numId="9">
    <w:abstractNumId w:val="5"/>
  </w:num>
  <w:num w:numId="10">
    <w:abstractNumId w:val="4"/>
  </w:num>
  <w:num w:numId="11">
    <w:abstractNumId w:val="9"/>
  </w:num>
  <w:num w:numId="12">
    <w:abstractNumId w:val="14"/>
  </w:num>
  <w:num w:numId="13">
    <w:abstractNumId w:val="11"/>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D9"/>
    <w:rsid w:val="000000D3"/>
    <w:rsid w:val="000054D2"/>
    <w:rsid w:val="00006474"/>
    <w:rsid w:val="00007C90"/>
    <w:rsid w:val="00016D8C"/>
    <w:rsid w:val="00036096"/>
    <w:rsid w:val="00037A14"/>
    <w:rsid w:val="000464E3"/>
    <w:rsid w:val="00057540"/>
    <w:rsid w:val="00061E5C"/>
    <w:rsid w:val="000805E2"/>
    <w:rsid w:val="00081D4A"/>
    <w:rsid w:val="00085175"/>
    <w:rsid w:val="00085C8A"/>
    <w:rsid w:val="00096A82"/>
    <w:rsid w:val="000A32B5"/>
    <w:rsid w:val="000A52F9"/>
    <w:rsid w:val="000B07CD"/>
    <w:rsid w:val="000B3DF2"/>
    <w:rsid w:val="000C7C8D"/>
    <w:rsid w:val="000C7CFC"/>
    <w:rsid w:val="000E3331"/>
    <w:rsid w:val="000F2B55"/>
    <w:rsid w:val="00102C7F"/>
    <w:rsid w:val="00106845"/>
    <w:rsid w:val="00111D37"/>
    <w:rsid w:val="00113555"/>
    <w:rsid w:val="00113F91"/>
    <w:rsid w:val="0011632C"/>
    <w:rsid w:val="001216F5"/>
    <w:rsid w:val="0012737C"/>
    <w:rsid w:val="00143C0E"/>
    <w:rsid w:val="0015506C"/>
    <w:rsid w:val="0015644E"/>
    <w:rsid w:val="001741AB"/>
    <w:rsid w:val="00174B74"/>
    <w:rsid w:val="001963A2"/>
    <w:rsid w:val="001A126D"/>
    <w:rsid w:val="001B181A"/>
    <w:rsid w:val="001B218D"/>
    <w:rsid w:val="001B2209"/>
    <w:rsid w:val="001B365C"/>
    <w:rsid w:val="001B3C34"/>
    <w:rsid w:val="001D4787"/>
    <w:rsid w:val="001E33C2"/>
    <w:rsid w:val="001E7E69"/>
    <w:rsid w:val="001F01ED"/>
    <w:rsid w:val="001F5C4E"/>
    <w:rsid w:val="0021479D"/>
    <w:rsid w:val="002176F5"/>
    <w:rsid w:val="00217CCE"/>
    <w:rsid w:val="0022044A"/>
    <w:rsid w:val="002211D1"/>
    <w:rsid w:val="00227C10"/>
    <w:rsid w:val="00235F25"/>
    <w:rsid w:val="002607A8"/>
    <w:rsid w:val="0026419B"/>
    <w:rsid w:val="00277FA4"/>
    <w:rsid w:val="002849E7"/>
    <w:rsid w:val="002871AC"/>
    <w:rsid w:val="002960C8"/>
    <w:rsid w:val="002A3160"/>
    <w:rsid w:val="002A5DE3"/>
    <w:rsid w:val="002B18CB"/>
    <w:rsid w:val="002C0B99"/>
    <w:rsid w:val="002C1453"/>
    <w:rsid w:val="002D658F"/>
    <w:rsid w:val="002E0925"/>
    <w:rsid w:val="002E7EAB"/>
    <w:rsid w:val="002F0DFE"/>
    <w:rsid w:val="002F58CE"/>
    <w:rsid w:val="00300079"/>
    <w:rsid w:val="0030291D"/>
    <w:rsid w:val="0030430D"/>
    <w:rsid w:val="00304368"/>
    <w:rsid w:val="00306763"/>
    <w:rsid w:val="003159FE"/>
    <w:rsid w:val="00333323"/>
    <w:rsid w:val="0035470A"/>
    <w:rsid w:val="0035564F"/>
    <w:rsid w:val="003558D0"/>
    <w:rsid w:val="00355D58"/>
    <w:rsid w:val="00356DCA"/>
    <w:rsid w:val="00366A3E"/>
    <w:rsid w:val="00381B91"/>
    <w:rsid w:val="00396CBD"/>
    <w:rsid w:val="003C0FE0"/>
    <w:rsid w:val="003D0C05"/>
    <w:rsid w:val="003D2F0F"/>
    <w:rsid w:val="003F21B8"/>
    <w:rsid w:val="003F4927"/>
    <w:rsid w:val="003F4C87"/>
    <w:rsid w:val="00406C6B"/>
    <w:rsid w:val="00411B78"/>
    <w:rsid w:val="00431676"/>
    <w:rsid w:val="00432647"/>
    <w:rsid w:val="00445E42"/>
    <w:rsid w:val="00457CD6"/>
    <w:rsid w:val="004728AD"/>
    <w:rsid w:val="0047701D"/>
    <w:rsid w:val="004808C7"/>
    <w:rsid w:val="00480DD8"/>
    <w:rsid w:val="0048608B"/>
    <w:rsid w:val="004A3A01"/>
    <w:rsid w:val="004A75E7"/>
    <w:rsid w:val="004A7C15"/>
    <w:rsid w:val="004A7D51"/>
    <w:rsid w:val="004B3ABC"/>
    <w:rsid w:val="004C7933"/>
    <w:rsid w:val="004E78F8"/>
    <w:rsid w:val="00516940"/>
    <w:rsid w:val="00526CA5"/>
    <w:rsid w:val="005323B4"/>
    <w:rsid w:val="00533E0D"/>
    <w:rsid w:val="005358FB"/>
    <w:rsid w:val="00542664"/>
    <w:rsid w:val="00543625"/>
    <w:rsid w:val="00552664"/>
    <w:rsid w:val="00552E00"/>
    <w:rsid w:val="00554A35"/>
    <w:rsid w:val="00556F79"/>
    <w:rsid w:val="005758B0"/>
    <w:rsid w:val="00575B55"/>
    <w:rsid w:val="005B0628"/>
    <w:rsid w:val="005B27E4"/>
    <w:rsid w:val="005B5AF8"/>
    <w:rsid w:val="005C2E1F"/>
    <w:rsid w:val="005C773E"/>
    <w:rsid w:val="005D5CFA"/>
    <w:rsid w:val="005E2A22"/>
    <w:rsid w:val="005E56EA"/>
    <w:rsid w:val="005F633F"/>
    <w:rsid w:val="0060074B"/>
    <w:rsid w:val="0060201A"/>
    <w:rsid w:val="00605995"/>
    <w:rsid w:val="00607F66"/>
    <w:rsid w:val="006211E7"/>
    <w:rsid w:val="0063037E"/>
    <w:rsid w:val="00635D87"/>
    <w:rsid w:val="00636828"/>
    <w:rsid w:val="00646FBA"/>
    <w:rsid w:val="00654534"/>
    <w:rsid w:val="00656E70"/>
    <w:rsid w:val="00664AC4"/>
    <w:rsid w:val="00665306"/>
    <w:rsid w:val="006675A7"/>
    <w:rsid w:val="00671F58"/>
    <w:rsid w:val="00672CF3"/>
    <w:rsid w:val="00673163"/>
    <w:rsid w:val="0067529F"/>
    <w:rsid w:val="00677FA1"/>
    <w:rsid w:val="0068370A"/>
    <w:rsid w:val="006839DE"/>
    <w:rsid w:val="006845AD"/>
    <w:rsid w:val="00697D94"/>
    <w:rsid w:val="006A495E"/>
    <w:rsid w:val="006A566D"/>
    <w:rsid w:val="006B7C23"/>
    <w:rsid w:val="006C0630"/>
    <w:rsid w:val="006C51A7"/>
    <w:rsid w:val="006D3EBC"/>
    <w:rsid w:val="006D4011"/>
    <w:rsid w:val="006D48B2"/>
    <w:rsid w:val="006D5ED6"/>
    <w:rsid w:val="006E049B"/>
    <w:rsid w:val="006E54FE"/>
    <w:rsid w:val="006E6B40"/>
    <w:rsid w:val="006F2EE8"/>
    <w:rsid w:val="00702851"/>
    <w:rsid w:val="007034EB"/>
    <w:rsid w:val="007061F7"/>
    <w:rsid w:val="0070729F"/>
    <w:rsid w:val="00723CA6"/>
    <w:rsid w:val="00725FCF"/>
    <w:rsid w:val="007322F9"/>
    <w:rsid w:val="00732D5B"/>
    <w:rsid w:val="0073340B"/>
    <w:rsid w:val="00745272"/>
    <w:rsid w:val="00757800"/>
    <w:rsid w:val="00760F1A"/>
    <w:rsid w:val="00761F10"/>
    <w:rsid w:val="007672DC"/>
    <w:rsid w:val="00794E93"/>
    <w:rsid w:val="00794F30"/>
    <w:rsid w:val="007A1007"/>
    <w:rsid w:val="007A349B"/>
    <w:rsid w:val="007A3E17"/>
    <w:rsid w:val="007C5146"/>
    <w:rsid w:val="007E5CF4"/>
    <w:rsid w:val="007F4DBB"/>
    <w:rsid w:val="007F7BEB"/>
    <w:rsid w:val="00803F5B"/>
    <w:rsid w:val="008064D1"/>
    <w:rsid w:val="00820D83"/>
    <w:rsid w:val="00821259"/>
    <w:rsid w:val="00827CCD"/>
    <w:rsid w:val="00830B76"/>
    <w:rsid w:val="00830C38"/>
    <w:rsid w:val="008316EC"/>
    <w:rsid w:val="008414AE"/>
    <w:rsid w:val="00857E39"/>
    <w:rsid w:val="008615A5"/>
    <w:rsid w:val="008622C8"/>
    <w:rsid w:val="00865ED4"/>
    <w:rsid w:val="0087675B"/>
    <w:rsid w:val="00896E5B"/>
    <w:rsid w:val="008A17B0"/>
    <w:rsid w:val="008A192B"/>
    <w:rsid w:val="008A3F96"/>
    <w:rsid w:val="008A61A7"/>
    <w:rsid w:val="008B2ECD"/>
    <w:rsid w:val="008C44A5"/>
    <w:rsid w:val="008D7295"/>
    <w:rsid w:val="008E05C9"/>
    <w:rsid w:val="008F180D"/>
    <w:rsid w:val="009042E4"/>
    <w:rsid w:val="009169C8"/>
    <w:rsid w:val="0091782D"/>
    <w:rsid w:val="00925B9A"/>
    <w:rsid w:val="0094290A"/>
    <w:rsid w:val="009504D6"/>
    <w:rsid w:val="00950A10"/>
    <w:rsid w:val="00953374"/>
    <w:rsid w:val="00953941"/>
    <w:rsid w:val="00956BA4"/>
    <w:rsid w:val="00965892"/>
    <w:rsid w:val="00975498"/>
    <w:rsid w:val="0098233E"/>
    <w:rsid w:val="009838C7"/>
    <w:rsid w:val="00983A49"/>
    <w:rsid w:val="009901E0"/>
    <w:rsid w:val="00992E6A"/>
    <w:rsid w:val="00994B25"/>
    <w:rsid w:val="009A4457"/>
    <w:rsid w:val="009B0E83"/>
    <w:rsid w:val="009B4DA0"/>
    <w:rsid w:val="009B6608"/>
    <w:rsid w:val="009C0A67"/>
    <w:rsid w:val="009C0CA9"/>
    <w:rsid w:val="009C2661"/>
    <w:rsid w:val="009D3E98"/>
    <w:rsid w:val="009E068C"/>
    <w:rsid w:val="009F3E81"/>
    <w:rsid w:val="00A07960"/>
    <w:rsid w:val="00A124B6"/>
    <w:rsid w:val="00A203B4"/>
    <w:rsid w:val="00A20C86"/>
    <w:rsid w:val="00A23E0C"/>
    <w:rsid w:val="00A350CB"/>
    <w:rsid w:val="00A40CCC"/>
    <w:rsid w:val="00A445C3"/>
    <w:rsid w:val="00A5272A"/>
    <w:rsid w:val="00A617FF"/>
    <w:rsid w:val="00A66D76"/>
    <w:rsid w:val="00A74F22"/>
    <w:rsid w:val="00A7504E"/>
    <w:rsid w:val="00A812B8"/>
    <w:rsid w:val="00A82B4E"/>
    <w:rsid w:val="00A91F84"/>
    <w:rsid w:val="00A952BE"/>
    <w:rsid w:val="00AA2E6D"/>
    <w:rsid w:val="00AB189D"/>
    <w:rsid w:val="00AC0264"/>
    <w:rsid w:val="00AD3596"/>
    <w:rsid w:val="00AD37ED"/>
    <w:rsid w:val="00AE2C67"/>
    <w:rsid w:val="00AE2EB5"/>
    <w:rsid w:val="00AE6B55"/>
    <w:rsid w:val="00B00701"/>
    <w:rsid w:val="00B01730"/>
    <w:rsid w:val="00B0224F"/>
    <w:rsid w:val="00B048FD"/>
    <w:rsid w:val="00B0755A"/>
    <w:rsid w:val="00B214AC"/>
    <w:rsid w:val="00B27F4C"/>
    <w:rsid w:val="00B413A5"/>
    <w:rsid w:val="00B47984"/>
    <w:rsid w:val="00B52558"/>
    <w:rsid w:val="00B57C99"/>
    <w:rsid w:val="00B64D93"/>
    <w:rsid w:val="00B677B7"/>
    <w:rsid w:val="00B7309A"/>
    <w:rsid w:val="00B77C46"/>
    <w:rsid w:val="00B94004"/>
    <w:rsid w:val="00BA08B5"/>
    <w:rsid w:val="00BA472A"/>
    <w:rsid w:val="00BA71A0"/>
    <w:rsid w:val="00BB173D"/>
    <w:rsid w:val="00BB73B6"/>
    <w:rsid w:val="00BB74F2"/>
    <w:rsid w:val="00BC3337"/>
    <w:rsid w:val="00BC471C"/>
    <w:rsid w:val="00BD26E0"/>
    <w:rsid w:val="00BD7D2F"/>
    <w:rsid w:val="00C030F1"/>
    <w:rsid w:val="00C06733"/>
    <w:rsid w:val="00C06A79"/>
    <w:rsid w:val="00C36702"/>
    <w:rsid w:val="00C36708"/>
    <w:rsid w:val="00C4353D"/>
    <w:rsid w:val="00C45090"/>
    <w:rsid w:val="00C47566"/>
    <w:rsid w:val="00C62AC3"/>
    <w:rsid w:val="00C7423A"/>
    <w:rsid w:val="00C751ED"/>
    <w:rsid w:val="00C75357"/>
    <w:rsid w:val="00C8381F"/>
    <w:rsid w:val="00C842D9"/>
    <w:rsid w:val="00C906A7"/>
    <w:rsid w:val="00C95D54"/>
    <w:rsid w:val="00CA2A2A"/>
    <w:rsid w:val="00CB1293"/>
    <w:rsid w:val="00CB295C"/>
    <w:rsid w:val="00CB7FEA"/>
    <w:rsid w:val="00CC1009"/>
    <w:rsid w:val="00CC3B7B"/>
    <w:rsid w:val="00CD17FA"/>
    <w:rsid w:val="00CF1D12"/>
    <w:rsid w:val="00CF6F8A"/>
    <w:rsid w:val="00CF6F9D"/>
    <w:rsid w:val="00CF7BA7"/>
    <w:rsid w:val="00D0669D"/>
    <w:rsid w:val="00D07758"/>
    <w:rsid w:val="00D218CC"/>
    <w:rsid w:val="00D22DA6"/>
    <w:rsid w:val="00D26AA5"/>
    <w:rsid w:val="00D34013"/>
    <w:rsid w:val="00D37ED0"/>
    <w:rsid w:val="00D41E3F"/>
    <w:rsid w:val="00D51129"/>
    <w:rsid w:val="00D5306D"/>
    <w:rsid w:val="00D57ECC"/>
    <w:rsid w:val="00D619DA"/>
    <w:rsid w:val="00D71D69"/>
    <w:rsid w:val="00D73D4B"/>
    <w:rsid w:val="00D75E47"/>
    <w:rsid w:val="00D77D66"/>
    <w:rsid w:val="00D806F4"/>
    <w:rsid w:val="00D90E72"/>
    <w:rsid w:val="00D93962"/>
    <w:rsid w:val="00DA18C8"/>
    <w:rsid w:val="00DA285F"/>
    <w:rsid w:val="00DB0BBF"/>
    <w:rsid w:val="00DB2671"/>
    <w:rsid w:val="00DB60E1"/>
    <w:rsid w:val="00DD0DEE"/>
    <w:rsid w:val="00DF22C7"/>
    <w:rsid w:val="00E267CB"/>
    <w:rsid w:val="00E40AFA"/>
    <w:rsid w:val="00E505B7"/>
    <w:rsid w:val="00E512D8"/>
    <w:rsid w:val="00E62A0B"/>
    <w:rsid w:val="00E6504D"/>
    <w:rsid w:val="00E71163"/>
    <w:rsid w:val="00EA71F2"/>
    <w:rsid w:val="00EB2C57"/>
    <w:rsid w:val="00EB6248"/>
    <w:rsid w:val="00EC399C"/>
    <w:rsid w:val="00ED09CA"/>
    <w:rsid w:val="00ED38D8"/>
    <w:rsid w:val="00ED581D"/>
    <w:rsid w:val="00EF40A7"/>
    <w:rsid w:val="00F0077C"/>
    <w:rsid w:val="00F01831"/>
    <w:rsid w:val="00F05B08"/>
    <w:rsid w:val="00F234CD"/>
    <w:rsid w:val="00F2473E"/>
    <w:rsid w:val="00F33A30"/>
    <w:rsid w:val="00F37359"/>
    <w:rsid w:val="00F4266E"/>
    <w:rsid w:val="00F43FEF"/>
    <w:rsid w:val="00F44F96"/>
    <w:rsid w:val="00F466CF"/>
    <w:rsid w:val="00F530A9"/>
    <w:rsid w:val="00F62C5E"/>
    <w:rsid w:val="00F65059"/>
    <w:rsid w:val="00F66784"/>
    <w:rsid w:val="00F72354"/>
    <w:rsid w:val="00F73D54"/>
    <w:rsid w:val="00F73DC4"/>
    <w:rsid w:val="00F960D7"/>
    <w:rsid w:val="00F96695"/>
    <w:rsid w:val="00F96A02"/>
    <w:rsid w:val="00F971F1"/>
    <w:rsid w:val="00FA08C9"/>
    <w:rsid w:val="00FA3697"/>
    <w:rsid w:val="00FB12F1"/>
    <w:rsid w:val="00FB2A5E"/>
    <w:rsid w:val="00FD3193"/>
    <w:rsid w:val="00FD6B59"/>
    <w:rsid w:val="00FD6DCB"/>
    <w:rsid w:val="00FF0E63"/>
    <w:rsid w:val="00FF69DB"/>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58CF2A"/>
  <w15:chartTrackingRefBased/>
  <w15:docId w15:val="{CD8DFCC7-A4AB-4ABD-B2A1-5158797E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AC"/>
    <w:pPr>
      <w:spacing w:after="100" w:line="240" w:lineRule="auto"/>
      <w:jc w:val="both"/>
    </w:pPr>
    <w:rPr>
      <w:rFonts w:asciiTheme="minorHAnsi" w:hAnsiTheme="minorHAnsi"/>
    </w:rPr>
  </w:style>
  <w:style w:type="paragraph" w:styleId="Heading1">
    <w:name w:val="heading 1"/>
    <w:basedOn w:val="Normal"/>
    <w:next w:val="Normal"/>
    <w:link w:val="Heading1Char"/>
    <w:uiPriority w:val="9"/>
    <w:qFormat/>
    <w:rsid w:val="00F2473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2473E"/>
    <w:pPr>
      <w:keepNext/>
      <w:keepLines/>
      <w:spacing w:before="10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2473E"/>
    <w:pPr>
      <w:keepNext/>
      <w:keepLines/>
      <w:spacing w:before="40" w:after="0"/>
      <w:outlineLvl w:val="2"/>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224F"/>
    <w:pPr>
      <w:spacing w:after="0"/>
    </w:pPr>
    <w:rPr>
      <w:sz w:val="20"/>
      <w:szCs w:val="20"/>
    </w:rPr>
  </w:style>
  <w:style w:type="character" w:customStyle="1" w:styleId="FootnoteTextChar">
    <w:name w:val="Footnote Text Char"/>
    <w:basedOn w:val="DefaultParagraphFont"/>
    <w:link w:val="FootnoteText"/>
    <w:uiPriority w:val="99"/>
    <w:rsid w:val="00B0224F"/>
    <w:rPr>
      <w:sz w:val="20"/>
      <w:szCs w:val="20"/>
    </w:rPr>
  </w:style>
  <w:style w:type="character" w:styleId="FootnoteReference">
    <w:name w:val="footnote reference"/>
    <w:basedOn w:val="DefaultParagraphFont"/>
    <w:uiPriority w:val="99"/>
    <w:semiHidden/>
    <w:unhideWhenUsed/>
    <w:rsid w:val="00B0224F"/>
    <w:rPr>
      <w:vertAlign w:val="superscript"/>
    </w:rPr>
  </w:style>
  <w:style w:type="paragraph" w:styleId="BalloonText">
    <w:name w:val="Balloon Text"/>
    <w:basedOn w:val="Normal"/>
    <w:link w:val="BalloonTextChar"/>
    <w:uiPriority w:val="99"/>
    <w:semiHidden/>
    <w:unhideWhenUsed/>
    <w:rsid w:val="003C0F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FE0"/>
    <w:rPr>
      <w:rFonts w:ascii="Segoe UI" w:hAnsi="Segoe UI" w:cs="Segoe UI"/>
      <w:sz w:val="18"/>
      <w:szCs w:val="18"/>
    </w:rPr>
  </w:style>
  <w:style w:type="character" w:styleId="CommentReference">
    <w:name w:val="annotation reference"/>
    <w:basedOn w:val="DefaultParagraphFont"/>
    <w:uiPriority w:val="99"/>
    <w:semiHidden/>
    <w:unhideWhenUsed/>
    <w:rsid w:val="008E05C9"/>
    <w:rPr>
      <w:sz w:val="16"/>
      <w:szCs w:val="16"/>
    </w:rPr>
  </w:style>
  <w:style w:type="paragraph" w:styleId="CommentText">
    <w:name w:val="annotation text"/>
    <w:basedOn w:val="Normal"/>
    <w:link w:val="CommentTextChar"/>
    <w:uiPriority w:val="99"/>
    <w:semiHidden/>
    <w:unhideWhenUsed/>
    <w:rsid w:val="008E05C9"/>
    <w:rPr>
      <w:sz w:val="20"/>
      <w:szCs w:val="20"/>
    </w:rPr>
  </w:style>
  <w:style w:type="character" w:customStyle="1" w:styleId="CommentTextChar">
    <w:name w:val="Comment Text Char"/>
    <w:basedOn w:val="DefaultParagraphFont"/>
    <w:link w:val="CommentText"/>
    <w:uiPriority w:val="99"/>
    <w:semiHidden/>
    <w:rsid w:val="008E05C9"/>
    <w:rPr>
      <w:sz w:val="20"/>
      <w:szCs w:val="20"/>
    </w:rPr>
  </w:style>
  <w:style w:type="paragraph" w:styleId="CommentSubject">
    <w:name w:val="annotation subject"/>
    <w:basedOn w:val="CommentText"/>
    <w:next w:val="CommentText"/>
    <w:link w:val="CommentSubjectChar"/>
    <w:uiPriority w:val="99"/>
    <w:semiHidden/>
    <w:unhideWhenUsed/>
    <w:rsid w:val="008E05C9"/>
    <w:rPr>
      <w:b/>
      <w:bCs/>
    </w:rPr>
  </w:style>
  <w:style w:type="character" w:customStyle="1" w:styleId="CommentSubjectChar">
    <w:name w:val="Comment Subject Char"/>
    <w:basedOn w:val="CommentTextChar"/>
    <w:link w:val="CommentSubject"/>
    <w:uiPriority w:val="99"/>
    <w:semiHidden/>
    <w:rsid w:val="008E05C9"/>
    <w:rPr>
      <w:b/>
      <w:bCs/>
      <w:sz w:val="20"/>
      <w:szCs w:val="20"/>
    </w:rPr>
  </w:style>
  <w:style w:type="character" w:customStyle="1" w:styleId="Heading1Char">
    <w:name w:val="Heading 1 Char"/>
    <w:basedOn w:val="DefaultParagraphFont"/>
    <w:link w:val="Heading1"/>
    <w:uiPriority w:val="9"/>
    <w:rsid w:val="00F2473E"/>
    <w:rPr>
      <w:rFonts w:asciiTheme="minorHAnsi" w:eastAsiaTheme="majorEastAsia" w:hAnsiTheme="minorHAnsi" w:cstheme="majorBidi"/>
      <w:b/>
      <w:sz w:val="32"/>
      <w:szCs w:val="32"/>
    </w:rPr>
  </w:style>
  <w:style w:type="character" w:customStyle="1" w:styleId="Heading2Char">
    <w:name w:val="Heading 2 Char"/>
    <w:basedOn w:val="DefaultParagraphFont"/>
    <w:link w:val="Heading2"/>
    <w:uiPriority w:val="9"/>
    <w:rsid w:val="00F2473E"/>
    <w:rPr>
      <w:rFonts w:asciiTheme="minorHAnsi" w:eastAsiaTheme="majorEastAsia" w:hAnsiTheme="minorHAnsi" w:cstheme="majorBidi"/>
      <w:b/>
      <w:sz w:val="28"/>
      <w:szCs w:val="26"/>
    </w:rPr>
  </w:style>
  <w:style w:type="paragraph" w:styleId="ListParagraph">
    <w:name w:val="List Paragraph"/>
    <w:basedOn w:val="Normal"/>
    <w:uiPriority w:val="34"/>
    <w:qFormat/>
    <w:rsid w:val="001B181A"/>
    <w:pPr>
      <w:ind w:left="720"/>
      <w:contextualSpacing/>
    </w:pPr>
  </w:style>
  <w:style w:type="character" w:styleId="Hyperlink">
    <w:name w:val="Hyperlink"/>
    <w:basedOn w:val="DefaultParagraphFont"/>
    <w:uiPriority w:val="99"/>
    <w:unhideWhenUsed/>
    <w:rsid w:val="001B181A"/>
    <w:rPr>
      <w:color w:val="0563C1" w:themeColor="hyperlink"/>
      <w:u w:val="single"/>
    </w:rPr>
  </w:style>
  <w:style w:type="paragraph" w:styleId="Header">
    <w:name w:val="header"/>
    <w:basedOn w:val="Normal"/>
    <w:link w:val="HeaderChar"/>
    <w:uiPriority w:val="99"/>
    <w:unhideWhenUsed/>
    <w:rsid w:val="001B181A"/>
    <w:pPr>
      <w:tabs>
        <w:tab w:val="center" w:pos="4680"/>
        <w:tab w:val="right" w:pos="9360"/>
      </w:tabs>
      <w:spacing w:after="0"/>
    </w:pPr>
  </w:style>
  <w:style w:type="character" w:customStyle="1" w:styleId="HeaderChar">
    <w:name w:val="Header Char"/>
    <w:basedOn w:val="DefaultParagraphFont"/>
    <w:link w:val="Header"/>
    <w:uiPriority w:val="99"/>
    <w:rsid w:val="001B181A"/>
  </w:style>
  <w:style w:type="paragraph" w:styleId="Footer">
    <w:name w:val="footer"/>
    <w:basedOn w:val="Normal"/>
    <w:link w:val="FooterChar"/>
    <w:uiPriority w:val="99"/>
    <w:unhideWhenUsed/>
    <w:rsid w:val="001B181A"/>
    <w:pPr>
      <w:tabs>
        <w:tab w:val="center" w:pos="4680"/>
        <w:tab w:val="right" w:pos="9360"/>
      </w:tabs>
      <w:spacing w:after="0"/>
    </w:pPr>
  </w:style>
  <w:style w:type="character" w:customStyle="1" w:styleId="FooterChar">
    <w:name w:val="Footer Char"/>
    <w:basedOn w:val="DefaultParagraphFont"/>
    <w:link w:val="Footer"/>
    <w:uiPriority w:val="99"/>
    <w:rsid w:val="001B181A"/>
  </w:style>
  <w:style w:type="character" w:customStyle="1" w:styleId="Heading3Char">
    <w:name w:val="Heading 3 Char"/>
    <w:basedOn w:val="DefaultParagraphFont"/>
    <w:link w:val="Heading3"/>
    <w:uiPriority w:val="9"/>
    <w:rsid w:val="00F2473E"/>
    <w:rPr>
      <w:rFonts w:asciiTheme="minorHAnsi" w:eastAsiaTheme="majorEastAsia" w:hAnsiTheme="minorHAnsi" w:cstheme="majorBidi"/>
      <w:b/>
      <w:sz w:val="26"/>
      <w:szCs w:val="26"/>
    </w:rPr>
  </w:style>
  <w:style w:type="paragraph" w:styleId="TOCHeading">
    <w:name w:val="TOC Heading"/>
    <w:basedOn w:val="Heading1"/>
    <w:next w:val="Normal"/>
    <w:uiPriority w:val="39"/>
    <w:unhideWhenUsed/>
    <w:qFormat/>
    <w:rsid w:val="00732D5B"/>
    <w:pPr>
      <w:outlineLvl w:val="9"/>
    </w:pPr>
  </w:style>
  <w:style w:type="paragraph" w:styleId="TOC1">
    <w:name w:val="toc 1"/>
    <w:basedOn w:val="Normal"/>
    <w:next w:val="Normal"/>
    <w:autoRedefine/>
    <w:uiPriority w:val="39"/>
    <w:unhideWhenUsed/>
    <w:rsid w:val="00732D5B"/>
  </w:style>
  <w:style w:type="paragraph" w:styleId="TOC2">
    <w:name w:val="toc 2"/>
    <w:basedOn w:val="Normal"/>
    <w:next w:val="Normal"/>
    <w:autoRedefine/>
    <w:uiPriority w:val="39"/>
    <w:unhideWhenUsed/>
    <w:rsid w:val="00732D5B"/>
    <w:pPr>
      <w:ind w:left="240"/>
    </w:pPr>
  </w:style>
  <w:style w:type="paragraph" w:styleId="TOC3">
    <w:name w:val="toc 3"/>
    <w:basedOn w:val="Normal"/>
    <w:next w:val="Normal"/>
    <w:autoRedefine/>
    <w:uiPriority w:val="39"/>
    <w:unhideWhenUsed/>
    <w:rsid w:val="00732D5B"/>
    <w:pPr>
      <w:ind w:left="480"/>
    </w:pPr>
  </w:style>
  <w:style w:type="paragraph" w:styleId="Revision">
    <w:name w:val="Revision"/>
    <w:hidden/>
    <w:uiPriority w:val="99"/>
    <w:semiHidden/>
    <w:rsid w:val="007034EB"/>
    <w:pPr>
      <w:spacing w:after="0" w:line="240" w:lineRule="auto"/>
    </w:pPr>
  </w:style>
  <w:style w:type="paragraph" w:styleId="NormalWeb">
    <w:name w:val="Normal (Web)"/>
    <w:basedOn w:val="Normal"/>
    <w:unhideWhenUsed/>
    <w:rsid w:val="003F21B8"/>
    <w:pPr>
      <w:spacing w:before="100" w:beforeAutospacing="1" w:afterAutospacing="1"/>
      <w:jc w:val="left"/>
    </w:pPr>
    <w:rPr>
      <w:rFonts w:ascii="Times New Roman" w:eastAsiaTheme="minorEastAsia" w:hAnsi="Times New Roman" w:cs="Times New Roman"/>
      <w:szCs w:val="24"/>
    </w:rPr>
  </w:style>
  <w:style w:type="paragraph" w:styleId="BodyText">
    <w:name w:val="Body Text"/>
    <w:basedOn w:val="Normal"/>
    <w:link w:val="BodyTextChar"/>
    <w:uiPriority w:val="1"/>
    <w:qFormat/>
    <w:rsid w:val="00EF40A7"/>
    <w:pPr>
      <w:widowControl w:val="0"/>
      <w:autoSpaceDE w:val="0"/>
      <w:autoSpaceDN w:val="0"/>
      <w:spacing w:after="0"/>
      <w:jc w:val="left"/>
    </w:pPr>
    <w:rPr>
      <w:rFonts w:ascii="Cambria" w:eastAsia="Cambria" w:hAnsi="Cambria" w:cs="Cambria"/>
      <w:szCs w:val="24"/>
    </w:rPr>
  </w:style>
  <w:style w:type="character" w:customStyle="1" w:styleId="BodyTextChar">
    <w:name w:val="Body Text Char"/>
    <w:basedOn w:val="DefaultParagraphFont"/>
    <w:link w:val="BodyText"/>
    <w:uiPriority w:val="1"/>
    <w:rsid w:val="00EF40A7"/>
    <w:rPr>
      <w:rFonts w:eastAsia="Cambria" w:cs="Cambria"/>
      <w:szCs w:val="24"/>
    </w:rPr>
  </w:style>
  <w:style w:type="paragraph" w:customStyle="1" w:styleId="TableParagraph">
    <w:name w:val="Table Paragraph"/>
    <w:basedOn w:val="Normal"/>
    <w:uiPriority w:val="1"/>
    <w:qFormat/>
    <w:rsid w:val="00EF40A7"/>
    <w:pPr>
      <w:widowControl w:val="0"/>
      <w:autoSpaceDE w:val="0"/>
      <w:autoSpaceDN w:val="0"/>
      <w:spacing w:after="0"/>
      <w:jc w:val="right"/>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2566">
      <w:bodyDiv w:val="1"/>
      <w:marLeft w:val="0"/>
      <w:marRight w:val="0"/>
      <w:marTop w:val="0"/>
      <w:marBottom w:val="0"/>
      <w:divBdr>
        <w:top w:val="none" w:sz="0" w:space="0" w:color="auto"/>
        <w:left w:val="none" w:sz="0" w:space="0" w:color="auto"/>
        <w:bottom w:val="none" w:sz="0" w:space="0" w:color="auto"/>
        <w:right w:val="none" w:sz="0" w:space="0" w:color="auto"/>
      </w:divBdr>
    </w:div>
    <w:div w:id="396830031">
      <w:bodyDiv w:val="1"/>
      <w:marLeft w:val="0"/>
      <w:marRight w:val="0"/>
      <w:marTop w:val="0"/>
      <w:marBottom w:val="0"/>
      <w:divBdr>
        <w:top w:val="none" w:sz="0" w:space="0" w:color="auto"/>
        <w:left w:val="none" w:sz="0" w:space="0" w:color="auto"/>
        <w:bottom w:val="none" w:sz="0" w:space="0" w:color="auto"/>
        <w:right w:val="none" w:sz="0" w:space="0" w:color="auto"/>
      </w:divBdr>
    </w:div>
    <w:div w:id="454833866">
      <w:bodyDiv w:val="1"/>
      <w:marLeft w:val="0"/>
      <w:marRight w:val="0"/>
      <w:marTop w:val="0"/>
      <w:marBottom w:val="0"/>
      <w:divBdr>
        <w:top w:val="none" w:sz="0" w:space="0" w:color="auto"/>
        <w:left w:val="none" w:sz="0" w:space="0" w:color="auto"/>
        <w:bottom w:val="none" w:sz="0" w:space="0" w:color="auto"/>
        <w:right w:val="none" w:sz="0" w:space="0" w:color="auto"/>
      </w:divBdr>
    </w:div>
    <w:div w:id="505369094">
      <w:bodyDiv w:val="1"/>
      <w:marLeft w:val="0"/>
      <w:marRight w:val="0"/>
      <w:marTop w:val="0"/>
      <w:marBottom w:val="0"/>
      <w:divBdr>
        <w:top w:val="none" w:sz="0" w:space="0" w:color="auto"/>
        <w:left w:val="none" w:sz="0" w:space="0" w:color="auto"/>
        <w:bottom w:val="none" w:sz="0" w:space="0" w:color="auto"/>
        <w:right w:val="none" w:sz="0" w:space="0" w:color="auto"/>
      </w:divBdr>
    </w:div>
    <w:div w:id="531698613">
      <w:bodyDiv w:val="1"/>
      <w:marLeft w:val="0"/>
      <w:marRight w:val="0"/>
      <w:marTop w:val="0"/>
      <w:marBottom w:val="0"/>
      <w:divBdr>
        <w:top w:val="none" w:sz="0" w:space="0" w:color="auto"/>
        <w:left w:val="none" w:sz="0" w:space="0" w:color="auto"/>
        <w:bottom w:val="none" w:sz="0" w:space="0" w:color="auto"/>
        <w:right w:val="none" w:sz="0" w:space="0" w:color="auto"/>
      </w:divBdr>
    </w:div>
    <w:div w:id="615478202">
      <w:bodyDiv w:val="1"/>
      <w:marLeft w:val="0"/>
      <w:marRight w:val="0"/>
      <w:marTop w:val="0"/>
      <w:marBottom w:val="0"/>
      <w:divBdr>
        <w:top w:val="none" w:sz="0" w:space="0" w:color="auto"/>
        <w:left w:val="none" w:sz="0" w:space="0" w:color="auto"/>
        <w:bottom w:val="none" w:sz="0" w:space="0" w:color="auto"/>
        <w:right w:val="none" w:sz="0" w:space="0" w:color="auto"/>
      </w:divBdr>
    </w:div>
    <w:div w:id="628097399">
      <w:bodyDiv w:val="1"/>
      <w:marLeft w:val="0"/>
      <w:marRight w:val="0"/>
      <w:marTop w:val="0"/>
      <w:marBottom w:val="0"/>
      <w:divBdr>
        <w:top w:val="none" w:sz="0" w:space="0" w:color="auto"/>
        <w:left w:val="none" w:sz="0" w:space="0" w:color="auto"/>
        <w:bottom w:val="none" w:sz="0" w:space="0" w:color="auto"/>
        <w:right w:val="none" w:sz="0" w:space="0" w:color="auto"/>
      </w:divBdr>
    </w:div>
    <w:div w:id="840775369">
      <w:bodyDiv w:val="1"/>
      <w:marLeft w:val="0"/>
      <w:marRight w:val="0"/>
      <w:marTop w:val="0"/>
      <w:marBottom w:val="0"/>
      <w:divBdr>
        <w:top w:val="none" w:sz="0" w:space="0" w:color="auto"/>
        <w:left w:val="none" w:sz="0" w:space="0" w:color="auto"/>
        <w:bottom w:val="none" w:sz="0" w:space="0" w:color="auto"/>
        <w:right w:val="none" w:sz="0" w:space="0" w:color="auto"/>
      </w:divBdr>
    </w:div>
    <w:div w:id="883521549">
      <w:bodyDiv w:val="1"/>
      <w:marLeft w:val="0"/>
      <w:marRight w:val="0"/>
      <w:marTop w:val="0"/>
      <w:marBottom w:val="0"/>
      <w:divBdr>
        <w:top w:val="none" w:sz="0" w:space="0" w:color="auto"/>
        <w:left w:val="none" w:sz="0" w:space="0" w:color="auto"/>
        <w:bottom w:val="none" w:sz="0" w:space="0" w:color="auto"/>
        <w:right w:val="none" w:sz="0" w:space="0" w:color="auto"/>
      </w:divBdr>
    </w:div>
    <w:div w:id="997532865">
      <w:bodyDiv w:val="1"/>
      <w:marLeft w:val="0"/>
      <w:marRight w:val="0"/>
      <w:marTop w:val="0"/>
      <w:marBottom w:val="0"/>
      <w:divBdr>
        <w:top w:val="none" w:sz="0" w:space="0" w:color="auto"/>
        <w:left w:val="none" w:sz="0" w:space="0" w:color="auto"/>
        <w:bottom w:val="none" w:sz="0" w:space="0" w:color="auto"/>
        <w:right w:val="none" w:sz="0" w:space="0" w:color="auto"/>
      </w:divBdr>
    </w:div>
    <w:div w:id="1009604388">
      <w:bodyDiv w:val="1"/>
      <w:marLeft w:val="0"/>
      <w:marRight w:val="0"/>
      <w:marTop w:val="0"/>
      <w:marBottom w:val="0"/>
      <w:divBdr>
        <w:top w:val="none" w:sz="0" w:space="0" w:color="auto"/>
        <w:left w:val="none" w:sz="0" w:space="0" w:color="auto"/>
        <w:bottom w:val="none" w:sz="0" w:space="0" w:color="auto"/>
        <w:right w:val="none" w:sz="0" w:space="0" w:color="auto"/>
      </w:divBdr>
    </w:div>
    <w:div w:id="1245846854">
      <w:bodyDiv w:val="1"/>
      <w:marLeft w:val="0"/>
      <w:marRight w:val="0"/>
      <w:marTop w:val="0"/>
      <w:marBottom w:val="0"/>
      <w:divBdr>
        <w:top w:val="none" w:sz="0" w:space="0" w:color="auto"/>
        <w:left w:val="none" w:sz="0" w:space="0" w:color="auto"/>
        <w:bottom w:val="none" w:sz="0" w:space="0" w:color="auto"/>
        <w:right w:val="none" w:sz="0" w:space="0" w:color="auto"/>
      </w:divBdr>
    </w:div>
    <w:div w:id="1251740063">
      <w:bodyDiv w:val="1"/>
      <w:marLeft w:val="0"/>
      <w:marRight w:val="0"/>
      <w:marTop w:val="0"/>
      <w:marBottom w:val="0"/>
      <w:divBdr>
        <w:top w:val="none" w:sz="0" w:space="0" w:color="auto"/>
        <w:left w:val="none" w:sz="0" w:space="0" w:color="auto"/>
        <w:bottom w:val="none" w:sz="0" w:space="0" w:color="auto"/>
        <w:right w:val="none" w:sz="0" w:space="0" w:color="auto"/>
      </w:divBdr>
    </w:div>
    <w:div w:id="1253926757">
      <w:bodyDiv w:val="1"/>
      <w:marLeft w:val="0"/>
      <w:marRight w:val="0"/>
      <w:marTop w:val="0"/>
      <w:marBottom w:val="0"/>
      <w:divBdr>
        <w:top w:val="none" w:sz="0" w:space="0" w:color="auto"/>
        <w:left w:val="none" w:sz="0" w:space="0" w:color="auto"/>
        <w:bottom w:val="none" w:sz="0" w:space="0" w:color="auto"/>
        <w:right w:val="none" w:sz="0" w:space="0" w:color="auto"/>
      </w:divBdr>
    </w:div>
    <w:div w:id="1334802292">
      <w:bodyDiv w:val="1"/>
      <w:marLeft w:val="0"/>
      <w:marRight w:val="0"/>
      <w:marTop w:val="0"/>
      <w:marBottom w:val="0"/>
      <w:divBdr>
        <w:top w:val="none" w:sz="0" w:space="0" w:color="auto"/>
        <w:left w:val="none" w:sz="0" w:space="0" w:color="auto"/>
        <w:bottom w:val="none" w:sz="0" w:space="0" w:color="auto"/>
        <w:right w:val="none" w:sz="0" w:space="0" w:color="auto"/>
      </w:divBdr>
    </w:div>
    <w:div w:id="1363749730">
      <w:bodyDiv w:val="1"/>
      <w:marLeft w:val="0"/>
      <w:marRight w:val="0"/>
      <w:marTop w:val="0"/>
      <w:marBottom w:val="0"/>
      <w:divBdr>
        <w:top w:val="none" w:sz="0" w:space="0" w:color="auto"/>
        <w:left w:val="none" w:sz="0" w:space="0" w:color="auto"/>
        <w:bottom w:val="none" w:sz="0" w:space="0" w:color="auto"/>
        <w:right w:val="none" w:sz="0" w:space="0" w:color="auto"/>
      </w:divBdr>
    </w:div>
    <w:div w:id="1487360812">
      <w:bodyDiv w:val="1"/>
      <w:marLeft w:val="0"/>
      <w:marRight w:val="0"/>
      <w:marTop w:val="0"/>
      <w:marBottom w:val="0"/>
      <w:divBdr>
        <w:top w:val="none" w:sz="0" w:space="0" w:color="auto"/>
        <w:left w:val="none" w:sz="0" w:space="0" w:color="auto"/>
        <w:bottom w:val="none" w:sz="0" w:space="0" w:color="auto"/>
        <w:right w:val="none" w:sz="0" w:space="0" w:color="auto"/>
      </w:divBdr>
    </w:div>
    <w:div w:id="1536502091">
      <w:bodyDiv w:val="1"/>
      <w:marLeft w:val="0"/>
      <w:marRight w:val="0"/>
      <w:marTop w:val="0"/>
      <w:marBottom w:val="0"/>
      <w:divBdr>
        <w:top w:val="none" w:sz="0" w:space="0" w:color="auto"/>
        <w:left w:val="none" w:sz="0" w:space="0" w:color="auto"/>
        <w:bottom w:val="none" w:sz="0" w:space="0" w:color="auto"/>
        <w:right w:val="none" w:sz="0" w:space="0" w:color="auto"/>
      </w:divBdr>
    </w:div>
    <w:div w:id="1586063708">
      <w:bodyDiv w:val="1"/>
      <w:marLeft w:val="0"/>
      <w:marRight w:val="0"/>
      <w:marTop w:val="0"/>
      <w:marBottom w:val="0"/>
      <w:divBdr>
        <w:top w:val="none" w:sz="0" w:space="0" w:color="auto"/>
        <w:left w:val="none" w:sz="0" w:space="0" w:color="auto"/>
        <w:bottom w:val="none" w:sz="0" w:space="0" w:color="auto"/>
        <w:right w:val="none" w:sz="0" w:space="0" w:color="auto"/>
      </w:divBdr>
    </w:div>
    <w:div w:id="1677685345">
      <w:bodyDiv w:val="1"/>
      <w:marLeft w:val="0"/>
      <w:marRight w:val="0"/>
      <w:marTop w:val="0"/>
      <w:marBottom w:val="0"/>
      <w:divBdr>
        <w:top w:val="none" w:sz="0" w:space="0" w:color="auto"/>
        <w:left w:val="none" w:sz="0" w:space="0" w:color="auto"/>
        <w:bottom w:val="none" w:sz="0" w:space="0" w:color="auto"/>
        <w:right w:val="none" w:sz="0" w:space="0" w:color="auto"/>
      </w:divBdr>
    </w:div>
    <w:div w:id="1677922472">
      <w:bodyDiv w:val="1"/>
      <w:marLeft w:val="0"/>
      <w:marRight w:val="0"/>
      <w:marTop w:val="0"/>
      <w:marBottom w:val="0"/>
      <w:divBdr>
        <w:top w:val="none" w:sz="0" w:space="0" w:color="auto"/>
        <w:left w:val="none" w:sz="0" w:space="0" w:color="auto"/>
        <w:bottom w:val="none" w:sz="0" w:space="0" w:color="auto"/>
        <w:right w:val="none" w:sz="0" w:space="0" w:color="auto"/>
      </w:divBdr>
    </w:div>
    <w:div w:id="1708676636">
      <w:bodyDiv w:val="1"/>
      <w:marLeft w:val="0"/>
      <w:marRight w:val="0"/>
      <w:marTop w:val="0"/>
      <w:marBottom w:val="0"/>
      <w:divBdr>
        <w:top w:val="none" w:sz="0" w:space="0" w:color="auto"/>
        <w:left w:val="none" w:sz="0" w:space="0" w:color="auto"/>
        <w:bottom w:val="none" w:sz="0" w:space="0" w:color="auto"/>
        <w:right w:val="none" w:sz="0" w:space="0" w:color="auto"/>
      </w:divBdr>
    </w:div>
    <w:div w:id="1923905470">
      <w:bodyDiv w:val="1"/>
      <w:marLeft w:val="0"/>
      <w:marRight w:val="0"/>
      <w:marTop w:val="0"/>
      <w:marBottom w:val="0"/>
      <w:divBdr>
        <w:top w:val="none" w:sz="0" w:space="0" w:color="auto"/>
        <w:left w:val="none" w:sz="0" w:space="0" w:color="auto"/>
        <w:bottom w:val="none" w:sz="0" w:space="0" w:color="auto"/>
        <w:right w:val="none" w:sz="0" w:space="0" w:color="auto"/>
      </w:divBdr>
    </w:div>
    <w:div w:id="1945266426">
      <w:bodyDiv w:val="1"/>
      <w:marLeft w:val="0"/>
      <w:marRight w:val="0"/>
      <w:marTop w:val="0"/>
      <w:marBottom w:val="0"/>
      <w:divBdr>
        <w:top w:val="none" w:sz="0" w:space="0" w:color="auto"/>
        <w:left w:val="none" w:sz="0" w:space="0" w:color="auto"/>
        <w:bottom w:val="none" w:sz="0" w:space="0" w:color="auto"/>
        <w:right w:val="none" w:sz="0" w:space="0" w:color="auto"/>
      </w:divBdr>
    </w:div>
    <w:div w:id="2036029682">
      <w:bodyDiv w:val="1"/>
      <w:marLeft w:val="0"/>
      <w:marRight w:val="0"/>
      <w:marTop w:val="0"/>
      <w:marBottom w:val="0"/>
      <w:divBdr>
        <w:top w:val="none" w:sz="0" w:space="0" w:color="auto"/>
        <w:left w:val="none" w:sz="0" w:space="0" w:color="auto"/>
        <w:bottom w:val="none" w:sz="0" w:space="0" w:color="auto"/>
        <w:right w:val="none" w:sz="0" w:space="0" w:color="auto"/>
      </w:divBdr>
    </w:div>
    <w:div w:id="21087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money.cnn.com/2018/02/08/investing/dow-jones-stock-market/index.html" TargetMode="External"/><Relationship Id="rId7" Type="http://schemas.openxmlformats.org/officeDocument/2006/relationships/hyperlink" Target="http://nymag.com/daily/intelligencer/2018/02/4-reasons-to-ignore-trumps-budget.html" TargetMode="External"/><Relationship Id="rId2" Type="http://schemas.openxmlformats.org/officeDocument/2006/relationships/hyperlink" Target="https://www.jct.gov/publications.html?func=startdown&amp;id=5055" TargetMode="External"/><Relationship Id="rId1" Type="http://schemas.openxmlformats.org/officeDocument/2006/relationships/hyperlink" Target="https://event.on24.com/eventRegistration/EventLobbyServlet?target=reg20.jsp&amp;mode=login&amp;loginemail=undefined&amp;eventid=1580397&amp;sessionid=1&amp;key=1E7D8253E3D62C13B4EC5FC8B443B762&amp;regTag=&amp;sourcepage=register" TargetMode="External"/><Relationship Id="rId6" Type="http://schemas.openxmlformats.org/officeDocument/2006/relationships/hyperlink" Target="http://www1.nyc.gov/assets/nycha/downloads/pdf/chair-shola-olatoye-on-the-presidents-budget.pdf" TargetMode="External"/><Relationship Id="rId5" Type="http://schemas.openxmlformats.org/officeDocument/2006/relationships/hyperlink" Target="https://www.cbpp.org/blog/non-defense-discretionary-funding-increases-under-bipartisan-deal-yet-remains-below-earlier" TargetMode="External"/><Relationship Id="rId4" Type="http://schemas.openxmlformats.org/officeDocument/2006/relationships/hyperlink" Target="http://www.gothamgazette.com/city/7455-under-threat-from-dc-and-albany-de-blasio-presents-88-67-billion-preliminary-budge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nycc-fs\fin_vol1\REVENUE\Revenue%20Write-ups\Preliminary%20Budget\FY19\MAIN%20TABLES%20Preliminary%20Budget%20FY1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nycc-fs\home\WKyeremateng\WKyeremateng\REVENUE%20DOC\HR1\IHS%20TCJA%20Simulation%20Results_Edited%20for%20bUDGET%20REPOR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nycc-fs\home\WKyeremateng\WKyeremateng\REVENUE%20DOC\HR1\IHS%20TCJA%20Simulation%20Results_Edited%20for%20bUDGET%20REPORT.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C:\Users\wkyeremateng\AppData\Roaming\Microsoft\Excel\TCJA%20Simulation%20Results%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734289583228856E-2"/>
          <c:y val="0.10173489835288718"/>
          <c:w val="0.89491114566093255"/>
          <c:h val="0.82159043911446006"/>
        </c:manualLayout>
      </c:layout>
      <c:lineChart>
        <c:grouping val="standard"/>
        <c:varyColors val="0"/>
        <c:ser>
          <c:idx val="0"/>
          <c:order val="0"/>
          <c:tx>
            <c:strRef>
              <c:f>'City employment forecast'!$B$4</c:f>
              <c:strCache>
                <c:ptCount val="1"/>
                <c:pt idx="0">
                  <c:v>Private-Sector Employment Growth</c:v>
                </c:pt>
              </c:strCache>
            </c:strRef>
          </c:tx>
          <c:spPr>
            <a:ln w="50800" cap="rnd">
              <a:solidFill>
                <a:schemeClr val="lt1">
                  <a:shade val="50000"/>
                </a:schemeClr>
              </a:solidFill>
              <a:round/>
            </a:ln>
            <a:effectLst/>
          </c:spPr>
          <c:marker>
            <c:symbol val="circle"/>
            <c:size val="5"/>
            <c:spPr>
              <a:solidFill>
                <a:schemeClr val="accent1"/>
              </a:solidFill>
              <a:ln w="88900">
                <a:solidFill>
                  <a:schemeClr val="accent1"/>
                </a:solidFill>
              </a:ln>
              <a:effectLst/>
            </c:spPr>
          </c:marker>
          <c:dLbls>
            <c:dLbl>
              <c:idx val="0"/>
              <c:layout>
                <c:manualLayout>
                  <c:x val="-3.9941159265695164E-2"/>
                  <c:y val="-9.350162251083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524-4ABB-B341-DAC14924B28D}"/>
                </c:ext>
              </c:extLst>
            </c:dLbl>
            <c:dLbl>
              <c:idx val="1"/>
              <c:layout>
                <c:manualLayout>
                  <c:x val="9.5700219001286866E-3"/>
                  <c:y val="-6.32561935855579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524-4ABB-B341-DAC14924B28D}"/>
                </c:ext>
              </c:extLst>
            </c:dLbl>
            <c:dLbl>
              <c:idx val="2"/>
              <c:layout>
                <c:manualLayout>
                  <c:x val="-3.5242280969223778E-2"/>
                  <c:y val="-7.48012980086657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524-4ABB-B341-DAC14924B28D}"/>
                </c:ext>
              </c:extLst>
            </c:dLbl>
            <c:dLbl>
              <c:idx val="3"/>
              <c:layout>
                <c:manualLayout>
                  <c:x val="-3.5242280969223862E-2"/>
                  <c:y val="-7.48012980086658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524-4ABB-B341-DAC14924B28D}"/>
                </c:ext>
              </c:extLst>
            </c:dLbl>
            <c:dLbl>
              <c:idx val="4"/>
              <c:layout>
                <c:manualLayout>
                  <c:x val="-3.2892795571275613E-2"/>
                  <c:y val="-5.98410384069326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524-4ABB-B341-DAC14924B28D}"/>
                </c:ext>
              </c:extLst>
            </c:dLbl>
            <c:dLbl>
              <c:idx val="5"/>
              <c:layout>
                <c:manualLayout>
                  <c:x val="-4.6989707958965204E-2"/>
                  <c:y val="-7.48012980086657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524-4ABB-B341-DAC14924B2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'City employment forecast'!$A$5:$A$10</c:f>
              <c:numCache>
                <c:formatCode>General</c:formatCode>
                <c:ptCount val="6"/>
                <c:pt idx="0">
                  <c:v>2017</c:v>
                </c:pt>
                <c:pt idx="1">
                  <c:v>2018</c:v>
                </c:pt>
                <c:pt idx="2">
                  <c:v>2019</c:v>
                </c:pt>
                <c:pt idx="3">
                  <c:v>2020</c:v>
                </c:pt>
                <c:pt idx="4">
                  <c:v>2021</c:v>
                </c:pt>
                <c:pt idx="5">
                  <c:v>2022</c:v>
                </c:pt>
              </c:numCache>
            </c:numRef>
          </c:cat>
          <c:val>
            <c:numRef>
              <c:f>'City employment forecast'!$B$5:$B$10</c:f>
              <c:numCache>
                <c:formatCode>0.0%</c:formatCode>
                <c:ptCount val="6"/>
                <c:pt idx="0">
                  <c:v>1.8849415822071999E-2</c:v>
                </c:pt>
                <c:pt idx="1">
                  <c:v>1.9611814773028199E-2</c:v>
                </c:pt>
                <c:pt idx="2">
                  <c:v>1.8784365538899499E-2</c:v>
                </c:pt>
                <c:pt idx="3">
                  <c:v>1.2044835562443099E-2</c:v>
                </c:pt>
                <c:pt idx="4">
                  <c:v>8.3171250050655399E-3</c:v>
                </c:pt>
                <c:pt idx="5">
                  <c:v>8.3862818822324405E-3</c:v>
                </c:pt>
              </c:numCache>
            </c:numRef>
          </c:val>
          <c:smooth val="0"/>
          <c:extLst>
            <c:ext xmlns:c16="http://schemas.microsoft.com/office/drawing/2014/chart" uri="{C3380CC4-5D6E-409C-BE32-E72D297353CC}">
              <c16:uniqueId val="{00000006-B524-4ABB-B341-DAC14924B28D}"/>
            </c:ext>
          </c:extLst>
        </c:ser>
        <c:dLbls>
          <c:showLegendKey val="0"/>
          <c:showVal val="0"/>
          <c:showCatName val="0"/>
          <c:showSerName val="0"/>
          <c:showPercent val="0"/>
          <c:showBubbleSize val="0"/>
        </c:dLbls>
        <c:marker val="1"/>
        <c:smooth val="0"/>
        <c:axId val="486468080"/>
        <c:axId val="486467688"/>
      </c:lineChart>
      <c:catAx>
        <c:axId val="48646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86467688"/>
        <c:crosses val="autoZero"/>
        <c:auto val="1"/>
        <c:lblAlgn val="ctr"/>
        <c:lblOffset val="100"/>
        <c:noMultiLvlLbl val="0"/>
      </c:catAx>
      <c:valAx>
        <c:axId val="486467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86468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21784776902871E-2"/>
          <c:y val="0.14491614813318932"/>
          <c:w val="0.89069836527668766"/>
          <c:h val="0.77171376591436491"/>
        </c:manualLayout>
      </c:layout>
      <c:barChart>
        <c:barDir val="col"/>
        <c:grouping val="clustered"/>
        <c:varyColors val="0"/>
        <c:ser>
          <c:idx val="2"/>
          <c:order val="0"/>
          <c:tx>
            <c:strRef>
              <c:f>'Summary Tables (2)'!$C$17</c:f>
              <c:strCache>
                <c:ptCount val="1"/>
                <c:pt idx="0">
                  <c:v>TCJA less Baseline</c:v>
                </c:pt>
              </c:strCache>
            </c:strRef>
          </c:tx>
          <c:spPr>
            <a:solidFill>
              <a:schemeClr val="accent3"/>
            </a:solidFill>
            <a:ln>
              <a:noFill/>
            </a:ln>
            <a:effectLst/>
          </c:spPr>
          <c:invertIfNegative val="0"/>
          <c:cat>
            <c:numRef>
              <c:f>'Summary Tables (2)'!$F$7:$O$7</c:f>
              <c:numCache>
                <c:formatCode>General</c:formatCode>
                <c:ptCount val="10"/>
                <c:pt idx="0">
                  <c:v>2018</c:v>
                </c:pt>
                <c:pt idx="1">
                  <c:v>2019</c:v>
                </c:pt>
                <c:pt idx="2">
                  <c:v>2020</c:v>
                </c:pt>
                <c:pt idx="3">
                  <c:v>2021</c:v>
                </c:pt>
                <c:pt idx="4">
                  <c:v>2022</c:v>
                </c:pt>
                <c:pt idx="5">
                  <c:v>2023</c:v>
                </c:pt>
                <c:pt idx="6">
                  <c:v>2024</c:v>
                </c:pt>
                <c:pt idx="7">
                  <c:v>2025</c:v>
                </c:pt>
                <c:pt idx="8">
                  <c:v>2026</c:v>
                </c:pt>
                <c:pt idx="9">
                  <c:v>2027</c:v>
                </c:pt>
              </c:numCache>
            </c:numRef>
          </c:cat>
          <c:val>
            <c:numRef>
              <c:f>'Summary Tables (2)'!$F$17:$O$17</c:f>
              <c:numCache>
                <c:formatCode>0.00%</c:formatCode>
                <c:ptCount val="10"/>
                <c:pt idx="0">
                  <c:v>6.2125205993652339E-4</c:v>
                </c:pt>
                <c:pt idx="1">
                  <c:v>2.2690606117248533E-3</c:v>
                </c:pt>
                <c:pt idx="2">
                  <c:v>2.246842384338379E-3</c:v>
                </c:pt>
                <c:pt idx="3">
                  <c:v>1.1992287635803223E-3</c:v>
                </c:pt>
                <c:pt idx="4">
                  <c:v>3.2300949096679685E-5</c:v>
                </c:pt>
                <c:pt idx="5">
                  <c:v>1.687169075012207E-5</c:v>
                </c:pt>
                <c:pt idx="6">
                  <c:v>5.779528617858887E-4</c:v>
                </c:pt>
                <c:pt idx="7">
                  <c:v>2.5864720344543458E-4</c:v>
                </c:pt>
                <c:pt idx="8">
                  <c:v>-1.6459393501281738E-3</c:v>
                </c:pt>
                <c:pt idx="9">
                  <c:v>-3.8574111461639406E-3</c:v>
                </c:pt>
              </c:numCache>
            </c:numRef>
          </c:val>
          <c:extLst>
            <c:ext xmlns:c16="http://schemas.microsoft.com/office/drawing/2014/chart" uri="{C3380CC4-5D6E-409C-BE32-E72D297353CC}">
              <c16:uniqueId val="{00000000-F8D6-4374-8EA1-84D159E86A2B}"/>
            </c:ext>
          </c:extLst>
        </c:ser>
        <c:dLbls>
          <c:showLegendKey val="0"/>
          <c:showVal val="0"/>
          <c:showCatName val="0"/>
          <c:showSerName val="0"/>
          <c:showPercent val="0"/>
          <c:showBubbleSize val="0"/>
        </c:dLbls>
        <c:gapWidth val="150"/>
        <c:axId val="482498816"/>
        <c:axId val="473875720"/>
      </c:barChart>
      <c:catAx>
        <c:axId val="4824988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875720"/>
        <c:crosses val="autoZero"/>
        <c:auto val="1"/>
        <c:lblAlgn val="ctr"/>
        <c:lblOffset val="100"/>
        <c:noMultiLvlLbl val="0"/>
      </c:catAx>
      <c:valAx>
        <c:axId val="473875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49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2926168319869107E-2"/>
          <c:y val="0.1336964728723978"/>
          <c:w val="0.87868285214348207"/>
          <c:h val="0.79091025080198307"/>
        </c:manualLayout>
      </c:layout>
      <c:lineChart>
        <c:grouping val="standard"/>
        <c:varyColors val="0"/>
        <c:ser>
          <c:idx val="0"/>
          <c:order val="0"/>
          <c:tx>
            <c:strRef>
              <c:f>'Summary Tables (2)'!$C$20</c:f>
              <c:strCache>
                <c:ptCount val="1"/>
                <c:pt idx="0">
                  <c:v>Baseline</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numRef>
              <c:f>'Summary Tables (2)'!$F$7:$O$7</c:f>
              <c:numCache>
                <c:formatCode>General</c:formatCode>
                <c:ptCount val="10"/>
                <c:pt idx="0">
                  <c:v>2018</c:v>
                </c:pt>
                <c:pt idx="1">
                  <c:v>2019</c:v>
                </c:pt>
                <c:pt idx="2">
                  <c:v>2020</c:v>
                </c:pt>
                <c:pt idx="3">
                  <c:v>2021</c:v>
                </c:pt>
                <c:pt idx="4">
                  <c:v>2022</c:v>
                </c:pt>
                <c:pt idx="5">
                  <c:v>2023</c:v>
                </c:pt>
                <c:pt idx="6">
                  <c:v>2024</c:v>
                </c:pt>
                <c:pt idx="7">
                  <c:v>2025</c:v>
                </c:pt>
                <c:pt idx="8">
                  <c:v>2026</c:v>
                </c:pt>
                <c:pt idx="9">
                  <c:v>2027</c:v>
                </c:pt>
              </c:numCache>
            </c:numRef>
          </c:cat>
          <c:val>
            <c:numRef>
              <c:f>'Summary Tables (2)'!$F$20:$O$20</c:f>
              <c:numCache>
                <c:formatCode>0.0%</c:formatCode>
                <c:ptCount val="10"/>
                <c:pt idx="0">
                  <c:v>3.8892760276794433E-2</c:v>
                </c:pt>
                <c:pt idx="1">
                  <c:v>3.7084774971008302E-2</c:v>
                </c:pt>
                <c:pt idx="2">
                  <c:v>3.8795094490051273E-2</c:v>
                </c:pt>
                <c:pt idx="3">
                  <c:v>4.2014226913452149E-2</c:v>
                </c:pt>
                <c:pt idx="4">
                  <c:v>4.3961353302001953E-2</c:v>
                </c:pt>
                <c:pt idx="5">
                  <c:v>4.5507888793945316E-2</c:v>
                </c:pt>
                <c:pt idx="6">
                  <c:v>4.6410651206970216E-2</c:v>
                </c:pt>
                <c:pt idx="7">
                  <c:v>4.6419148445129392E-2</c:v>
                </c:pt>
                <c:pt idx="8">
                  <c:v>4.6765737533569336E-2</c:v>
                </c:pt>
                <c:pt idx="9">
                  <c:v>4.7163896560668946E-2</c:v>
                </c:pt>
              </c:numCache>
            </c:numRef>
          </c:val>
          <c:smooth val="0"/>
          <c:extLst>
            <c:ext xmlns:c16="http://schemas.microsoft.com/office/drawing/2014/chart" uri="{C3380CC4-5D6E-409C-BE32-E72D297353CC}">
              <c16:uniqueId val="{00000000-7BA5-4EC8-8803-5A60D7C41DD5}"/>
            </c:ext>
          </c:extLst>
        </c:ser>
        <c:ser>
          <c:idx val="1"/>
          <c:order val="1"/>
          <c:tx>
            <c:strRef>
              <c:f>'Summary Tables (2)'!$C$21</c:f>
              <c:strCache>
                <c:ptCount val="1"/>
                <c:pt idx="0">
                  <c:v>Tax Cuts &amp; Jobs Act</c:v>
                </c:pt>
              </c:strCache>
            </c:strRef>
          </c:tx>
          <c:spPr>
            <a:ln w="28575" cap="rnd">
              <a:solidFill>
                <a:schemeClr val="accent3">
                  <a:tint val="77000"/>
                </a:schemeClr>
              </a:solidFill>
              <a:round/>
            </a:ln>
            <a:effectLst/>
          </c:spPr>
          <c:marker>
            <c:symbol val="triangle"/>
            <c:size val="5"/>
            <c:spPr>
              <a:solidFill>
                <a:schemeClr val="accent3">
                  <a:tint val="77000"/>
                </a:schemeClr>
              </a:solidFill>
              <a:ln w="9525">
                <a:solidFill>
                  <a:schemeClr val="accent3">
                    <a:tint val="77000"/>
                  </a:schemeClr>
                </a:solidFill>
              </a:ln>
              <a:effectLst/>
            </c:spPr>
          </c:marker>
          <c:cat>
            <c:numRef>
              <c:f>'Summary Tables (2)'!$F$7:$O$7</c:f>
              <c:numCache>
                <c:formatCode>General</c:formatCode>
                <c:ptCount val="10"/>
                <c:pt idx="0">
                  <c:v>2018</c:v>
                </c:pt>
                <c:pt idx="1">
                  <c:v>2019</c:v>
                </c:pt>
                <c:pt idx="2">
                  <c:v>2020</c:v>
                </c:pt>
                <c:pt idx="3">
                  <c:v>2021</c:v>
                </c:pt>
                <c:pt idx="4">
                  <c:v>2022</c:v>
                </c:pt>
                <c:pt idx="5">
                  <c:v>2023</c:v>
                </c:pt>
                <c:pt idx="6">
                  <c:v>2024</c:v>
                </c:pt>
                <c:pt idx="7">
                  <c:v>2025</c:v>
                </c:pt>
                <c:pt idx="8">
                  <c:v>2026</c:v>
                </c:pt>
                <c:pt idx="9">
                  <c:v>2027</c:v>
                </c:pt>
              </c:numCache>
            </c:numRef>
          </c:cat>
          <c:val>
            <c:numRef>
              <c:f>'Summary Tables (2)'!$F$21:$O$21</c:f>
              <c:numCache>
                <c:formatCode>0.0%</c:formatCode>
                <c:ptCount val="10"/>
                <c:pt idx="0">
                  <c:v>3.876866340637207E-2</c:v>
                </c:pt>
                <c:pt idx="1">
                  <c:v>3.6049211025238038E-2</c:v>
                </c:pt>
                <c:pt idx="2">
                  <c:v>3.6417779922485349E-2</c:v>
                </c:pt>
                <c:pt idx="3">
                  <c:v>3.9079234600067139E-2</c:v>
                </c:pt>
                <c:pt idx="4">
                  <c:v>4.153864860534668E-2</c:v>
                </c:pt>
                <c:pt idx="5">
                  <c:v>4.3977069854736331E-2</c:v>
                </c:pt>
                <c:pt idx="6">
                  <c:v>4.5331826210021971E-2</c:v>
                </c:pt>
                <c:pt idx="7">
                  <c:v>4.5575447082519531E-2</c:v>
                </c:pt>
                <c:pt idx="8">
                  <c:v>4.6951761245727537E-2</c:v>
                </c:pt>
                <c:pt idx="9">
                  <c:v>4.9818468093872068E-2</c:v>
                </c:pt>
              </c:numCache>
            </c:numRef>
          </c:val>
          <c:smooth val="0"/>
          <c:extLst>
            <c:ext xmlns:c16="http://schemas.microsoft.com/office/drawing/2014/chart" uri="{C3380CC4-5D6E-409C-BE32-E72D297353CC}">
              <c16:uniqueId val="{00000001-7BA5-4EC8-8803-5A60D7C41DD5}"/>
            </c:ext>
          </c:extLst>
        </c:ser>
        <c:dLbls>
          <c:showLegendKey val="0"/>
          <c:showVal val="0"/>
          <c:showCatName val="0"/>
          <c:showSerName val="0"/>
          <c:showPercent val="0"/>
          <c:showBubbleSize val="0"/>
        </c:dLbls>
        <c:marker val="1"/>
        <c:smooth val="0"/>
        <c:axId val="474893800"/>
        <c:axId val="477797240"/>
      </c:lineChart>
      <c:catAx>
        <c:axId val="47489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77797240"/>
        <c:crosses val="autoZero"/>
        <c:auto val="1"/>
        <c:lblAlgn val="ctr"/>
        <c:lblOffset val="100"/>
        <c:noMultiLvlLbl val="0"/>
      </c:catAx>
      <c:valAx>
        <c:axId val="477797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74893800"/>
        <c:crosses val="autoZero"/>
        <c:crossBetween val="between"/>
      </c:valAx>
      <c:spPr>
        <a:noFill/>
        <a:ln>
          <a:noFill/>
        </a:ln>
        <a:effectLst/>
      </c:spPr>
    </c:plotArea>
    <c:legend>
      <c:legendPos val="b"/>
      <c:layout>
        <c:manualLayout>
          <c:xMode val="edge"/>
          <c:yMode val="edge"/>
          <c:x val="0.43243476918326385"/>
          <c:y val="0.62557815689705454"/>
          <c:w val="0.41722176773357877"/>
          <c:h val="9.721996443992887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43920393789159"/>
          <c:y val="0.1252621671801149"/>
          <c:w val="0.816005196320157"/>
          <c:h val="0.7614531527778492"/>
        </c:manualLayout>
      </c:layout>
      <c:lineChart>
        <c:grouping val="standard"/>
        <c:varyColors val="0"/>
        <c:ser>
          <c:idx val="0"/>
          <c:order val="0"/>
          <c:tx>
            <c:strRef>
              <c:f>'[IHS TCJA Simulation Results_Edited for bUDGET REPORT.xlsx]Summary Tables'!$C$45</c:f>
              <c:strCache>
                <c:ptCount val="1"/>
                <c:pt idx="0">
                  <c:v>Baseline</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'[IHS TCJA Simulation Results_Edited for bUDGET REPORT.xlsx]Summary Tables'!$F$7:$O$7</c:f>
              <c:numCache>
                <c:formatCode>General</c:formatCode>
                <c:ptCount val="10"/>
                <c:pt idx="0">
                  <c:v>2018</c:v>
                </c:pt>
                <c:pt idx="1">
                  <c:v>2019</c:v>
                </c:pt>
                <c:pt idx="2">
                  <c:v>2020</c:v>
                </c:pt>
                <c:pt idx="3">
                  <c:v>2021</c:v>
                </c:pt>
                <c:pt idx="4">
                  <c:v>2022</c:v>
                </c:pt>
                <c:pt idx="5">
                  <c:v>2023</c:v>
                </c:pt>
                <c:pt idx="6">
                  <c:v>2024</c:v>
                </c:pt>
                <c:pt idx="7">
                  <c:v>2025</c:v>
                </c:pt>
                <c:pt idx="8">
                  <c:v>2026</c:v>
                </c:pt>
                <c:pt idx="9">
                  <c:v>2027</c:v>
                </c:pt>
              </c:numCache>
            </c:numRef>
          </c:cat>
          <c:val>
            <c:numRef>
              <c:f>'[IHS TCJA Simulation Results_Edited for bUDGET REPORT.xlsx]Summary Tables'!$F$45:$O$45</c:f>
              <c:numCache>
                <c:formatCode>"$"#,##0_);[Red]\("$"#,##0\)</c:formatCode>
                <c:ptCount val="10"/>
                <c:pt idx="0">
                  <c:v>-573.1181640625</c:v>
                </c:pt>
                <c:pt idx="1">
                  <c:v>-723.95758056640625</c:v>
                </c:pt>
                <c:pt idx="2">
                  <c:v>-819.92877197265625</c:v>
                </c:pt>
                <c:pt idx="3">
                  <c:v>-966.720458984375</c:v>
                </c:pt>
                <c:pt idx="4">
                  <c:v>-1125.7132568359375</c:v>
                </c:pt>
                <c:pt idx="5">
                  <c:v>-1193.585693359375</c:v>
                </c:pt>
                <c:pt idx="6">
                  <c:v>-1224.9781494140625</c:v>
                </c:pt>
                <c:pt idx="7">
                  <c:v>-1381.78515625</c:v>
                </c:pt>
                <c:pt idx="8">
                  <c:v>-1488.3291015625</c:v>
                </c:pt>
                <c:pt idx="9">
                  <c:v>-1520.1295166015625</c:v>
                </c:pt>
              </c:numCache>
            </c:numRef>
          </c:val>
          <c:smooth val="0"/>
          <c:extLst>
            <c:ext xmlns:c16="http://schemas.microsoft.com/office/drawing/2014/chart" uri="{C3380CC4-5D6E-409C-BE32-E72D297353CC}">
              <c16:uniqueId val="{00000000-34B2-4D6F-8791-FBFBFC81571B}"/>
            </c:ext>
          </c:extLst>
        </c:ser>
        <c:ser>
          <c:idx val="1"/>
          <c:order val="1"/>
          <c:tx>
            <c:strRef>
              <c:f>'[IHS TCJA Simulation Results_Edited for bUDGET REPORT.xlsx]Summary Tables'!$C$46</c:f>
              <c:strCache>
                <c:ptCount val="1"/>
                <c:pt idx="0">
                  <c:v>Tax Cuts &amp; Jobs Act</c:v>
                </c:pt>
              </c:strCache>
            </c:strRef>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cat>
            <c:numRef>
              <c:f>'[IHS TCJA Simulation Results_Edited for bUDGET REPORT.xlsx]Summary Tables'!$F$7:$O$7</c:f>
              <c:numCache>
                <c:formatCode>General</c:formatCode>
                <c:ptCount val="10"/>
                <c:pt idx="0">
                  <c:v>2018</c:v>
                </c:pt>
                <c:pt idx="1">
                  <c:v>2019</c:v>
                </c:pt>
                <c:pt idx="2">
                  <c:v>2020</c:v>
                </c:pt>
                <c:pt idx="3">
                  <c:v>2021</c:v>
                </c:pt>
                <c:pt idx="4">
                  <c:v>2022</c:v>
                </c:pt>
                <c:pt idx="5">
                  <c:v>2023</c:v>
                </c:pt>
                <c:pt idx="6">
                  <c:v>2024</c:v>
                </c:pt>
                <c:pt idx="7">
                  <c:v>2025</c:v>
                </c:pt>
                <c:pt idx="8">
                  <c:v>2026</c:v>
                </c:pt>
                <c:pt idx="9">
                  <c:v>2027</c:v>
                </c:pt>
              </c:numCache>
            </c:numRef>
          </c:cat>
          <c:val>
            <c:numRef>
              <c:f>'[IHS TCJA Simulation Results_Edited for bUDGET REPORT.xlsx]Summary Tables'!$F$46:$O$46</c:f>
              <c:numCache>
                <c:formatCode>"$"#,##0_);[Red]\("$"#,##0\)</c:formatCode>
                <c:ptCount val="10"/>
                <c:pt idx="0">
                  <c:v>-780.03289794921875</c:v>
                </c:pt>
                <c:pt idx="1">
                  <c:v>-998.33209228515625</c:v>
                </c:pt>
                <c:pt idx="2">
                  <c:v>-1070.80859375</c:v>
                </c:pt>
                <c:pt idx="3">
                  <c:v>-1174.3616943359375</c:v>
                </c:pt>
                <c:pt idx="4">
                  <c:v>-1284.7003173828125</c:v>
                </c:pt>
                <c:pt idx="5">
                  <c:v>-1328.9857177734375</c:v>
                </c:pt>
                <c:pt idx="6">
                  <c:v>-1348.328857421875</c:v>
                </c:pt>
                <c:pt idx="7">
                  <c:v>-1479.0977783203125</c:v>
                </c:pt>
                <c:pt idx="8">
                  <c:v>-1522.6097412109375</c:v>
                </c:pt>
                <c:pt idx="9">
                  <c:v>-1517.3026123046875</c:v>
                </c:pt>
              </c:numCache>
            </c:numRef>
          </c:val>
          <c:smooth val="0"/>
          <c:extLst>
            <c:ext xmlns:c16="http://schemas.microsoft.com/office/drawing/2014/chart" uri="{C3380CC4-5D6E-409C-BE32-E72D297353CC}">
              <c16:uniqueId val="{00000001-34B2-4D6F-8791-FBFBFC81571B}"/>
            </c:ext>
          </c:extLst>
        </c:ser>
        <c:dLbls>
          <c:showLegendKey val="0"/>
          <c:showVal val="0"/>
          <c:showCatName val="0"/>
          <c:showSerName val="0"/>
          <c:showPercent val="0"/>
          <c:showBubbleSize val="0"/>
        </c:dLbls>
        <c:marker val="1"/>
        <c:smooth val="0"/>
        <c:axId val="477798024"/>
        <c:axId val="477798416"/>
      </c:lineChart>
      <c:catAx>
        <c:axId val="4777980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798416"/>
        <c:crosses val="autoZero"/>
        <c:auto val="1"/>
        <c:lblAlgn val="ctr"/>
        <c:lblOffset val="100"/>
        <c:noMultiLvlLbl val="0"/>
      </c:catAx>
      <c:valAx>
        <c:axId val="47779841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798024"/>
        <c:crosses val="autoZero"/>
        <c:crossBetween val="between"/>
      </c:valAx>
      <c:spPr>
        <a:noFill/>
        <a:ln>
          <a:noFill/>
        </a:ln>
        <a:effectLst/>
      </c:spPr>
    </c:plotArea>
    <c:legend>
      <c:legendPos val="b"/>
      <c:layout>
        <c:manualLayout>
          <c:xMode val="edge"/>
          <c:yMode val="edge"/>
          <c:x val="0.48408476718188015"/>
          <c:y val="0.22477477709146579"/>
          <c:w val="0.40237157224033865"/>
          <c:h val="8.21173630668429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0.46113</cdr:x>
      <cdr:y>0.03831</cdr:y>
    </cdr:from>
    <cdr:to>
      <cdr:x>0.61399</cdr:x>
      <cdr:y>0.08872</cdr:y>
    </cdr:to>
    <cdr:sp macro="" textlink="">
      <cdr:nvSpPr>
        <cdr:cNvPr id="2" name="Text Box 1"/>
        <cdr:cNvSpPr txBox="1"/>
      </cdr:nvSpPr>
      <cdr:spPr>
        <a:xfrm xmlns:a="http://schemas.openxmlformats.org/drawingml/2006/main">
          <a:off x="2758314" y="143584"/>
          <a:ext cx="914400" cy="18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0.24762</cdr:x>
      <cdr:y>0.02016</cdr:y>
    </cdr:from>
    <cdr:to>
      <cdr:x>0.79971</cdr:x>
      <cdr:y>0.08469</cdr:y>
    </cdr:to>
    <cdr:sp macro="" textlink="">
      <cdr:nvSpPr>
        <cdr:cNvPr id="3" name="Text Box 2"/>
        <cdr:cNvSpPr txBox="1"/>
      </cdr:nvSpPr>
      <cdr:spPr>
        <a:xfrm xmlns:a="http://schemas.openxmlformats.org/drawingml/2006/main">
          <a:off x="1481176" y="75570"/>
          <a:ext cx="3302420" cy="241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t>New York City - Private Sector Employment Growth</a:t>
          </a:r>
        </a:p>
      </cdr:txBody>
    </cdr:sp>
  </cdr:relSizeAnchor>
</c:userShapes>
</file>

<file path=word/drawings/drawing2.xml><?xml version="1.0" encoding="utf-8"?>
<c:userShapes xmlns:c="http://schemas.openxmlformats.org/drawingml/2006/chart">
  <cdr:relSizeAnchor xmlns:cdr="http://schemas.openxmlformats.org/drawingml/2006/chartDrawing">
    <cdr:from>
      <cdr:x>0.17347</cdr:x>
      <cdr:y>0.02998</cdr:y>
    </cdr:from>
    <cdr:to>
      <cdr:x>0.90053</cdr:x>
      <cdr:y>0.11718</cdr:y>
    </cdr:to>
    <cdr:sp macro="" textlink="">
      <cdr:nvSpPr>
        <cdr:cNvPr id="2" name="Text Box 1"/>
        <cdr:cNvSpPr txBox="1"/>
      </cdr:nvSpPr>
      <cdr:spPr>
        <a:xfrm xmlns:a="http://schemas.openxmlformats.org/drawingml/2006/main">
          <a:off x="1027755" y="83127"/>
          <a:ext cx="4307505" cy="241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t>Difference between Real GDP Growth under TCJA and Baseline</a:t>
          </a:r>
          <a:r>
            <a:rPr lang="en-US" sz="1100" b="1" baseline="0"/>
            <a:t> Projections</a:t>
          </a:r>
          <a:endParaRPr lang="en-US"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0.13524</cdr:x>
      <cdr:y>0.02644</cdr:y>
    </cdr:from>
    <cdr:to>
      <cdr:x>0.89127</cdr:x>
      <cdr:y>0.11456</cdr:y>
    </cdr:to>
    <cdr:sp macro="" textlink="">
      <cdr:nvSpPr>
        <cdr:cNvPr id="2" name="Text Box 1"/>
        <cdr:cNvSpPr txBox="1"/>
      </cdr:nvSpPr>
      <cdr:spPr>
        <a:xfrm xmlns:a="http://schemas.openxmlformats.org/drawingml/2006/main">
          <a:off x="793487" y="90685"/>
          <a:ext cx="4435973" cy="3022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t>Unemployment Rate Forecast under TCJA Compared to Baseline Projections</a:t>
          </a:r>
        </a:p>
      </cdr:txBody>
    </cdr:sp>
  </cdr:relSizeAnchor>
</c:userShapes>
</file>

<file path=word/drawings/drawing4.xml><?xml version="1.0" encoding="utf-8"?>
<c:userShapes xmlns:c="http://schemas.openxmlformats.org/drawingml/2006/chart">
  <cdr:relSizeAnchor xmlns:cdr="http://schemas.openxmlformats.org/drawingml/2006/chartDrawing">
    <cdr:from>
      <cdr:x>0.00134</cdr:x>
      <cdr:y>0.20988</cdr:y>
    </cdr:from>
    <cdr:to>
      <cdr:x>0.05353</cdr:x>
      <cdr:y>0.75891</cdr:y>
    </cdr:to>
    <cdr:sp macro="" textlink="">
      <cdr:nvSpPr>
        <cdr:cNvPr id="2" name="Text Box 1"/>
        <cdr:cNvSpPr txBox="1"/>
      </cdr:nvSpPr>
      <cdr:spPr>
        <a:xfrm xmlns:a="http://schemas.openxmlformats.org/drawingml/2006/main">
          <a:off x="7557" y="612120"/>
          <a:ext cx="295283" cy="160127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000"/>
            <a:t>Deficit (dollars</a:t>
          </a:r>
          <a:r>
            <a:rPr lang="en-US" sz="1000" baseline="0"/>
            <a:t> in billions)</a:t>
          </a:r>
          <a:endParaRPr lang="en-US" sz="1000"/>
        </a:p>
      </cdr:txBody>
    </cdr:sp>
  </cdr:relSizeAnchor>
  <cdr:relSizeAnchor xmlns:cdr="http://schemas.openxmlformats.org/drawingml/2006/chartDrawing">
    <cdr:from>
      <cdr:x>0.46214</cdr:x>
      <cdr:y>0.06737</cdr:y>
    </cdr:from>
    <cdr:to>
      <cdr:x>0.62376</cdr:x>
      <cdr:y>0.38089</cdr:y>
    </cdr:to>
    <cdr:sp macro="" textlink="">
      <cdr:nvSpPr>
        <cdr:cNvPr id="3" name="Text Box 2"/>
        <cdr:cNvSpPr txBox="1"/>
      </cdr:nvSpPr>
      <cdr:spPr>
        <a:xfrm xmlns:a="http://schemas.openxmlformats.org/drawingml/2006/main">
          <a:off x="2614731" y="19648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0.50221</cdr:x>
      <cdr:y>0.06219</cdr:y>
    </cdr:from>
    <cdr:to>
      <cdr:x>0.66383</cdr:x>
      <cdr:y>0.37571</cdr:y>
    </cdr:to>
    <cdr:sp macro="" textlink="">
      <cdr:nvSpPr>
        <cdr:cNvPr id="4" name="Text Box 3"/>
        <cdr:cNvSpPr txBox="1"/>
      </cdr:nvSpPr>
      <cdr:spPr>
        <a:xfrm xmlns:a="http://schemas.openxmlformats.org/drawingml/2006/main">
          <a:off x="2841441" y="18136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0.40871</cdr:x>
      <cdr:y>0.02332</cdr:y>
    </cdr:from>
    <cdr:to>
      <cdr:x>0.67986</cdr:x>
      <cdr:y>0.09587</cdr:y>
    </cdr:to>
    <cdr:sp macro="" textlink="">
      <cdr:nvSpPr>
        <cdr:cNvPr id="6" name="Text Box 5"/>
        <cdr:cNvSpPr txBox="1"/>
      </cdr:nvSpPr>
      <cdr:spPr>
        <a:xfrm xmlns:a="http://schemas.openxmlformats.org/drawingml/2006/main">
          <a:off x="2312448" y="68013"/>
          <a:ext cx="1534077" cy="2115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t>Unified Budget Deficit Under TCJA Compared to Baseline Projections, 2018-2027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16A6-18F7-4D76-9B38-E8492725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Sturm</dc:creator>
  <cp:keywords/>
  <dc:description/>
  <cp:lastModifiedBy>Anderson, Nicole</cp:lastModifiedBy>
  <cp:revision>7</cp:revision>
  <cp:lastPrinted>2018-03-01T19:15:00Z</cp:lastPrinted>
  <dcterms:created xsi:type="dcterms:W3CDTF">2018-02-28T19:45:00Z</dcterms:created>
  <dcterms:modified xsi:type="dcterms:W3CDTF">2018-03-01T19:16:00Z</dcterms:modified>
</cp:coreProperties>
</file>