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B01" w:rsidRDefault="00882B01" w:rsidP="00882B01">
      <w:pPr>
        <w:rPr>
          <w:rFonts w:ascii="Times New Roman" w:hAnsi="Times New Roman" w:cs="Times New Roman"/>
          <w:b/>
          <w:sz w:val="28"/>
          <w:szCs w:val="28"/>
        </w:rPr>
      </w:pPr>
      <w:bookmarkStart w:id="0" w:name="_Toc443728997"/>
      <w:r>
        <w:rPr>
          <w:noProof/>
        </w:rPr>
        <w:drawing>
          <wp:anchor distT="0" distB="0" distL="114300" distR="114300" simplePos="0" relativeHeight="251659264" behindDoc="1" locked="0" layoutInCell="1" allowOverlap="1" wp14:anchorId="27A6119C" wp14:editId="28FE4712">
            <wp:simplePos x="0" y="0"/>
            <wp:positionH relativeFrom="column">
              <wp:posOffset>-514350</wp:posOffset>
            </wp:positionH>
            <wp:positionV relativeFrom="paragraph">
              <wp:posOffset>-379730</wp:posOffset>
            </wp:positionV>
            <wp:extent cx="2143125" cy="855980"/>
            <wp:effectExtent l="0" t="0" r="9525" b="1270"/>
            <wp:wrapThrough wrapText="bothSides">
              <wp:wrapPolygon edited="0">
                <wp:start x="0" y="0"/>
                <wp:lineTo x="0" y="21151"/>
                <wp:lineTo x="21504" y="21151"/>
                <wp:lineTo x="21504" y="0"/>
                <wp:lineTo x="0" y="0"/>
              </wp:wrapPolygon>
            </wp:wrapThrough>
            <wp:docPr id="5" name="Picture 5" descr="cid:5B86E1F2-B964-492D-BB79-A02E1F4D62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5B86E1F2-B964-492D-BB79-A02E1F4D62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143125"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B01" w:rsidRDefault="00882B01" w:rsidP="00882B01">
      <w:pPr>
        <w:rPr>
          <w:rFonts w:ascii="Times New Roman" w:hAnsi="Times New Roman" w:cs="Times New Roman"/>
          <w:b/>
          <w:sz w:val="28"/>
          <w:szCs w:val="28"/>
        </w:rPr>
      </w:pPr>
    </w:p>
    <w:p w:rsidR="00882B01" w:rsidRDefault="00882B01" w:rsidP="00882B01">
      <w:pPr>
        <w:rPr>
          <w:rFonts w:ascii="Times New Roman" w:hAnsi="Times New Roman" w:cs="Times New Roman"/>
          <w:b/>
          <w:sz w:val="28"/>
          <w:szCs w:val="28"/>
        </w:rPr>
      </w:pPr>
    </w:p>
    <w:p w:rsidR="00882B01" w:rsidRDefault="00882B01" w:rsidP="00882B01">
      <w:pPr>
        <w:rPr>
          <w:rFonts w:ascii="Times New Roman" w:hAnsi="Times New Roman" w:cs="Times New Roman"/>
          <w:b/>
          <w:sz w:val="28"/>
          <w:szCs w:val="28"/>
        </w:rPr>
      </w:pPr>
    </w:p>
    <w:p w:rsidR="00882B01" w:rsidRDefault="00882B01" w:rsidP="00882B01">
      <w:pPr>
        <w:rPr>
          <w:rFonts w:ascii="Times New Roman" w:hAnsi="Times New Roman" w:cs="Times New Roman"/>
          <w:b/>
          <w:sz w:val="28"/>
          <w:szCs w:val="28"/>
        </w:rPr>
      </w:pPr>
    </w:p>
    <w:p w:rsidR="00882B01" w:rsidRDefault="00882B01" w:rsidP="00882B01">
      <w:pPr>
        <w:rPr>
          <w:rFonts w:ascii="Times New Roman" w:hAnsi="Times New Roman" w:cs="Times New Roman"/>
          <w:b/>
          <w:sz w:val="28"/>
          <w:szCs w:val="28"/>
        </w:rPr>
      </w:pPr>
    </w:p>
    <w:p w:rsidR="00882B01" w:rsidRPr="00882B01" w:rsidRDefault="00882B01" w:rsidP="00882B01">
      <w:pPr>
        <w:jc w:val="center"/>
        <w:rPr>
          <w:rFonts w:ascii="Times New Roman" w:hAnsi="Times New Roman" w:cs="Times New Roman"/>
          <w:sz w:val="72"/>
          <w:szCs w:val="72"/>
        </w:rPr>
      </w:pPr>
      <w:r w:rsidRPr="00882B01">
        <w:rPr>
          <w:rFonts w:ascii="Times New Roman" w:hAnsi="Times New Roman" w:cs="Times New Roman"/>
          <w:sz w:val="72"/>
          <w:szCs w:val="72"/>
        </w:rPr>
        <w:t>ANNUAL REPORT</w:t>
      </w:r>
    </w:p>
    <w:p w:rsidR="00882B01" w:rsidRPr="00882B01" w:rsidRDefault="00882B01" w:rsidP="00882B01">
      <w:pPr>
        <w:jc w:val="center"/>
        <w:rPr>
          <w:rFonts w:ascii="Times New Roman" w:hAnsi="Times New Roman" w:cs="Times New Roman"/>
          <w:sz w:val="40"/>
          <w:szCs w:val="40"/>
        </w:rPr>
      </w:pPr>
    </w:p>
    <w:p w:rsidR="00882B01" w:rsidRPr="00882B01" w:rsidRDefault="00882B01" w:rsidP="00882B01">
      <w:pPr>
        <w:jc w:val="center"/>
        <w:rPr>
          <w:rFonts w:ascii="Times New Roman" w:hAnsi="Times New Roman" w:cs="Times New Roman"/>
          <w:sz w:val="40"/>
          <w:szCs w:val="40"/>
        </w:rPr>
      </w:pPr>
      <w:r w:rsidRPr="00882B01">
        <w:rPr>
          <w:rFonts w:ascii="Times New Roman" w:hAnsi="Times New Roman" w:cs="Times New Roman"/>
          <w:sz w:val="40"/>
          <w:szCs w:val="40"/>
        </w:rPr>
        <w:t>THE NYC OFFICE OF THE TAXPAYER ADVOCATE</w:t>
      </w:r>
    </w:p>
    <w:p w:rsidR="00882B01" w:rsidRPr="00882B01" w:rsidRDefault="00882B01" w:rsidP="00882B01">
      <w:pPr>
        <w:jc w:val="center"/>
        <w:rPr>
          <w:rFonts w:ascii="Times New Roman" w:hAnsi="Times New Roman" w:cs="Times New Roman"/>
          <w:sz w:val="40"/>
          <w:szCs w:val="40"/>
        </w:rPr>
      </w:pPr>
      <w:r w:rsidRPr="00882B01">
        <w:rPr>
          <w:rFonts w:ascii="Times New Roman" w:hAnsi="Times New Roman" w:cs="Times New Roman"/>
          <w:sz w:val="40"/>
          <w:szCs w:val="40"/>
        </w:rPr>
        <w:t>May 1, 2017</w:t>
      </w:r>
      <w:r w:rsidRPr="00882B01">
        <w:rPr>
          <w:rFonts w:ascii="Times New Roman" w:hAnsi="Times New Roman" w:cs="Times New Roman"/>
          <w:sz w:val="40"/>
          <w:szCs w:val="40"/>
        </w:rPr>
        <w:cr/>
      </w:r>
    </w:p>
    <w:p w:rsidR="00882B01" w:rsidRDefault="00882B01" w:rsidP="00882B01">
      <w:pPr>
        <w:rPr>
          <w:rFonts w:ascii="Times New Roman" w:hAnsi="Times New Roman" w:cs="Times New Roman"/>
          <w:b/>
          <w:sz w:val="28"/>
          <w:szCs w:val="28"/>
        </w:rPr>
      </w:pPr>
    </w:p>
    <w:p w:rsidR="00882B01" w:rsidRDefault="00882B01" w:rsidP="00882B01">
      <w:pPr>
        <w:rPr>
          <w:rFonts w:ascii="Times New Roman" w:hAnsi="Times New Roman" w:cs="Times New Roman"/>
          <w:b/>
          <w:sz w:val="28"/>
          <w:szCs w:val="28"/>
        </w:rPr>
      </w:pPr>
    </w:p>
    <w:p w:rsidR="00882B01" w:rsidRDefault="00882B01" w:rsidP="00882B01">
      <w:pPr>
        <w:rPr>
          <w:rFonts w:ascii="Times New Roman" w:hAnsi="Times New Roman" w:cs="Times New Roman"/>
          <w:b/>
          <w:sz w:val="28"/>
          <w:szCs w:val="28"/>
        </w:rPr>
      </w:pPr>
    </w:p>
    <w:p w:rsidR="00882B01" w:rsidRDefault="00882B01" w:rsidP="00882B01">
      <w:pPr>
        <w:rPr>
          <w:rFonts w:ascii="Times New Roman" w:hAnsi="Times New Roman" w:cs="Times New Roman"/>
          <w:b/>
          <w:sz w:val="28"/>
          <w:szCs w:val="28"/>
        </w:rPr>
      </w:pPr>
    </w:p>
    <w:p w:rsidR="00882B01" w:rsidRDefault="00882B01" w:rsidP="00882B01">
      <w:pPr>
        <w:rPr>
          <w:rFonts w:ascii="Times New Roman" w:hAnsi="Times New Roman" w:cs="Times New Roman"/>
          <w:b/>
          <w:sz w:val="28"/>
          <w:szCs w:val="28"/>
        </w:rPr>
      </w:pPr>
    </w:p>
    <w:p w:rsidR="00882B01" w:rsidRDefault="00882B01" w:rsidP="00882B01">
      <w:pPr>
        <w:rPr>
          <w:rFonts w:ascii="Times New Roman" w:hAnsi="Times New Roman" w:cs="Times New Roman"/>
          <w:b/>
          <w:sz w:val="28"/>
          <w:szCs w:val="28"/>
        </w:rPr>
      </w:pPr>
    </w:p>
    <w:p w:rsidR="00882B01" w:rsidRDefault="00882B01" w:rsidP="00882B01">
      <w:pPr>
        <w:rPr>
          <w:rFonts w:ascii="Times New Roman" w:hAnsi="Times New Roman" w:cs="Times New Roman"/>
          <w:b/>
          <w:sz w:val="28"/>
          <w:szCs w:val="28"/>
        </w:rPr>
      </w:pPr>
    </w:p>
    <w:p w:rsidR="00882B01" w:rsidRDefault="00882B01" w:rsidP="00882B01">
      <w:pPr>
        <w:rPr>
          <w:rFonts w:ascii="Times New Roman" w:hAnsi="Times New Roman" w:cs="Times New Roman"/>
          <w:b/>
          <w:sz w:val="28"/>
          <w:szCs w:val="28"/>
        </w:rPr>
      </w:pPr>
    </w:p>
    <w:p w:rsidR="00882B01" w:rsidRDefault="00882B01" w:rsidP="00882B01">
      <w:pPr>
        <w:rPr>
          <w:rFonts w:ascii="Times New Roman" w:hAnsi="Times New Roman" w:cs="Times New Roman"/>
          <w:b/>
          <w:sz w:val="28"/>
          <w:szCs w:val="28"/>
        </w:rPr>
      </w:pPr>
    </w:p>
    <w:p w:rsidR="00882B01" w:rsidRPr="00882B01" w:rsidRDefault="00882B01" w:rsidP="00882B01">
      <w:pPr>
        <w:jc w:val="center"/>
        <w:rPr>
          <w:rFonts w:ascii="Times New Roman" w:hAnsi="Times New Roman" w:cs="Times New Roman"/>
          <w:b/>
          <w:smallCaps/>
          <w:sz w:val="24"/>
          <w:szCs w:val="24"/>
        </w:rPr>
        <w:sectPr w:rsidR="00882B01" w:rsidRPr="00882B01" w:rsidSect="00E62E20">
          <w:footerReference w:type="default" r:id="rId11"/>
          <w:type w:val="continuous"/>
          <w:pgSz w:w="12240" w:h="15840"/>
          <w:pgMar w:top="1440" w:right="1440" w:bottom="1440" w:left="1440" w:header="720" w:footer="720" w:gutter="0"/>
          <w:cols w:space="720"/>
          <w:docGrid w:linePitch="360"/>
        </w:sectPr>
      </w:pPr>
      <w:r w:rsidRPr="00882B01">
        <w:rPr>
          <w:rFonts w:ascii="Times New Roman" w:hAnsi="Times New Roman" w:cs="Times New Roman"/>
          <w:b/>
          <w:smallCaps/>
          <w:sz w:val="24"/>
          <w:szCs w:val="24"/>
        </w:rPr>
        <w:t xml:space="preserve">Bill De Blasio, Mayor </w:t>
      </w:r>
      <w:r w:rsidRPr="00882B01">
        <w:rPr>
          <w:rFonts w:ascii="Times New Roman" w:hAnsi="Times New Roman" w:cs="Times New Roman"/>
          <w:b/>
          <w:smallCaps/>
          <w:sz w:val="24"/>
          <w:szCs w:val="24"/>
        </w:rPr>
        <w:sym w:font="Wingdings" w:char="F06C"/>
      </w:r>
      <w:r w:rsidRPr="00882B01">
        <w:rPr>
          <w:rFonts w:ascii="Times New Roman" w:hAnsi="Times New Roman" w:cs="Times New Roman"/>
          <w:b/>
          <w:smallCaps/>
          <w:sz w:val="24"/>
          <w:szCs w:val="24"/>
        </w:rPr>
        <w:t xml:space="preserve">  Jacque</w:t>
      </w:r>
      <w:r>
        <w:rPr>
          <w:rFonts w:ascii="Times New Roman" w:hAnsi="Times New Roman" w:cs="Times New Roman"/>
          <w:b/>
          <w:smallCaps/>
          <w:sz w:val="24"/>
          <w:szCs w:val="24"/>
        </w:rPr>
        <w:t>s Jiha, Ph.D</w:t>
      </w:r>
      <w:r w:rsidRPr="00882B01">
        <w:rPr>
          <w:rFonts w:ascii="Times New Roman" w:hAnsi="Times New Roman" w:cs="Times New Roman"/>
          <w:b/>
          <w:smallCaps/>
          <w:sz w:val="24"/>
          <w:szCs w:val="24"/>
        </w:rPr>
        <w:t>., Commissioner</w:t>
      </w:r>
      <w:r w:rsidRPr="00882B01">
        <w:rPr>
          <w:rFonts w:ascii="Times New Roman" w:hAnsi="Times New Roman" w:cs="Times New Roman"/>
          <w:b/>
          <w:smallCaps/>
          <w:sz w:val="24"/>
          <w:szCs w:val="24"/>
        </w:rPr>
        <w:br w:type="page"/>
      </w:r>
    </w:p>
    <w:p w:rsidR="00C85E17" w:rsidRPr="00FB16A0" w:rsidRDefault="00C85E17" w:rsidP="00C85E17">
      <w:pPr>
        <w:ind w:left="1440" w:firstLine="720"/>
        <w:rPr>
          <w:rFonts w:ascii="Times New Roman" w:hAnsi="Times New Roman" w:cs="Times New Roman"/>
          <w:b/>
          <w:sz w:val="28"/>
          <w:szCs w:val="28"/>
        </w:rPr>
      </w:pPr>
      <w:r w:rsidRPr="00FB16A0">
        <w:rPr>
          <w:rFonts w:ascii="Times New Roman" w:hAnsi="Times New Roman" w:cs="Times New Roman"/>
          <w:b/>
          <w:sz w:val="28"/>
          <w:szCs w:val="28"/>
        </w:rPr>
        <w:lastRenderedPageBreak/>
        <w:t xml:space="preserve">New York City Office of Taxpayer Advocate </w:t>
      </w:r>
    </w:p>
    <w:p w:rsidR="00C85E17" w:rsidRPr="00FB16A0" w:rsidRDefault="00C85E17" w:rsidP="0058452E">
      <w:pPr>
        <w:ind w:left="2880" w:firstLine="720"/>
        <w:rPr>
          <w:rFonts w:ascii="Times New Roman" w:hAnsi="Times New Roman" w:cs="Times New Roman"/>
          <w:b/>
          <w:sz w:val="36"/>
          <w:szCs w:val="36"/>
        </w:rPr>
      </w:pPr>
      <w:r w:rsidRPr="00FB16A0">
        <w:rPr>
          <w:rFonts w:ascii="Times New Roman" w:hAnsi="Times New Roman" w:cs="Times New Roman"/>
          <w:b/>
          <w:sz w:val="36"/>
          <w:szCs w:val="36"/>
        </w:rPr>
        <w:t>20</w:t>
      </w:r>
      <w:r w:rsidR="00F443AA" w:rsidRPr="00FB16A0">
        <w:rPr>
          <w:rFonts w:ascii="Times New Roman" w:hAnsi="Times New Roman" w:cs="Times New Roman"/>
          <w:b/>
          <w:sz w:val="36"/>
          <w:szCs w:val="36"/>
        </w:rPr>
        <w:t xml:space="preserve">17 </w:t>
      </w:r>
      <w:r w:rsidR="00D65714" w:rsidRPr="00FB16A0">
        <w:rPr>
          <w:rFonts w:ascii="Times New Roman" w:hAnsi="Times New Roman" w:cs="Times New Roman"/>
          <w:b/>
          <w:sz w:val="36"/>
          <w:szCs w:val="36"/>
        </w:rPr>
        <w:t>A</w:t>
      </w:r>
      <w:r w:rsidR="00F443AA" w:rsidRPr="00FB16A0">
        <w:rPr>
          <w:rFonts w:ascii="Times New Roman" w:hAnsi="Times New Roman" w:cs="Times New Roman"/>
          <w:b/>
          <w:sz w:val="36"/>
          <w:szCs w:val="36"/>
        </w:rPr>
        <w:t xml:space="preserve">nnual </w:t>
      </w:r>
      <w:r w:rsidR="00D65714" w:rsidRPr="00FB16A0">
        <w:rPr>
          <w:rFonts w:ascii="Times New Roman" w:hAnsi="Times New Roman" w:cs="Times New Roman"/>
          <w:b/>
          <w:sz w:val="36"/>
          <w:szCs w:val="36"/>
        </w:rPr>
        <w:t>R</w:t>
      </w:r>
      <w:r w:rsidR="00F443AA" w:rsidRPr="00FB16A0">
        <w:rPr>
          <w:rFonts w:ascii="Times New Roman" w:hAnsi="Times New Roman" w:cs="Times New Roman"/>
          <w:b/>
          <w:sz w:val="36"/>
          <w:szCs w:val="36"/>
        </w:rPr>
        <w:t>eport</w:t>
      </w:r>
    </w:p>
    <w:p w:rsidR="00C85E17" w:rsidRPr="00FB16A0" w:rsidRDefault="00C85E17" w:rsidP="0058452E">
      <w:pPr>
        <w:ind w:left="1440" w:firstLine="720"/>
        <w:rPr>
          <w:rFonts w:ascii="Times New Roman" w:hAnsi="Times New Roman" w:cs="Times New Roman"/>
          <w:b/>
          <w:sz w:val="28"/>
          <w:szCs w:val="28"/>
        </w:rPr>
      </w:pPr>
      <w:r w:rsidRPr="00FB16A0">
        <w:rPr>
          <w:rFonts w:ascii="Times New Roman" w:hAnsi="Times New Roman" w:cs="Times New Roman"/>
          <w:b/>
          <w:sz w:val="28"/>
          <w:szCs w:val="28"/>
        </w:rPr>
        <w:t>(Reporting Period April 1, 2016 – March 31, 2017)</w:t>
      </w:r>
    </w:p>
    <w:p w:rsidR="00D65714" w:rsidRPr="00FB16A0" w:rsidRDefault="00D65714" w:rsidP="0058452E">
      <w:pPr>
        <w:ind w:left="1440" w:firstLine="720"/>
        <w:rPr>
          <w:rFonts w:ascii="Times New Roman" w:hAnsi="Times New Roman" w:cs="Times New Roman"/>
          <w:b/>
          <w:sz w:val="28"/>
          <w:szCs w:val="28"/>
        </w:rPr>
      </w:pPr>
    </w:p>
    <w:p w:rsidR="00AE7308" w:rsidRPr="00AE7308" w:rsidRDefault="00BA7323">
      <w:pPr>
        <w:rPr>
          <w:rFonts w:ascii="Times New Roman" w:hAnsi="Times New Roman" w:cs="Times New Roman"/>
          <w:b/>
          <w:sz w:val="28"/>
          <w:szCs w:val="28"/>
          <w:u w:val="single"/>
        </w:rPr>
      </w:pPr>
      <w:r w:rsidRPr="00FB16A0">
        <w:rPr>
          <w:rFonts w:ascii="Times New Roman" w:hAnsi="Times New Roman" w:cs="Times New Roman"/>
          <w:b/>
          <w:sz w:val="28"/>
          <w:szCs w:val="28"/>
          <w:u w:val="single"/>
        </w:rPr>
        <w:t>Executive Summary</w:t>
      </w:r>
    </w:p>
    <w:p w:rsidR="00385418" w:rsidRDefault="004D1D1A">
      <w:pPr>
        <w:rPr>
          <w:rFonts w:ascii="Times New Roman" w:hAnsi="Times New Roman" w:cs="Times New Roman"/>
          <w:sz w:val="24"/>
          <w:szCs w:val="24"/>
        </w:rPr>
      </w:pPr>
      <w:r>
        <w:rPr>
          <w:rFonts w:ascii="Times New Roman" w:hAnsi="Times New Roman" w:cs="Times New Roman"/>
          <w:sz w:val="24"/>
          <w:szCs w:val="24"/>
        </w:rPr>
        <w:t xml:space="preserve">The </w:t>
      </w:r>
      <w:r w:rsidRPr="00FB16A0">
        <w:rPr>
          <w:rFonts w:ascii="Times New Roman" w:hAnsi="Times New Roman" w:cs="Times New Roman"/>
          <w:sz w:val="24"/>
          <w:szCs w:val="24"/>
        </w:rPr>
        <w:t xml:space="preserve">Office of the Taxpayer Advocate (“OTA”) </w:t>
      </w:r>
      <w:r>
        <w:rPr>
          <w:rFonts w:ascii="Times New Roman" w:hAnsi="Times New Roman" w:cs="Times New Roman"/>
          <w:sz w:val="24"/>
          <w:szCs w:val="24"/>
        </w:rPr>
        <w:t>was e</w:t>
      </w:r>
      <w:r w:rsidR="00B424F1" w:rsidRPr="00FB16A0">
        <w:rPr>
          <w:rFonts w:ascii="Times New Roman" w:hAnsi="Times New Roman" w:cs="Times New Roman"/>
          <w:sz w:val="24"/>
          <w:szCs w:val="24"/>
        </w:rPr>
        <w:t>stablished administratively by</w:t>
      </w:r>
      <w:r w:rsidR="00B424F1">
        <w:rPr>
          <w:rFonts w:ascii="Times New Roman" w:hAnsi="Times New Roman" w:cs="Times New Roman"/>
          <w:sz w:val="24"/>
          <w:szCs w:val="24"/>
        </w:rPr>
        <w:t xml:space="preserve"> the </w:t>
      </w:r>
      <w:r>
        <w:rPr>
          <w:rFonts w:ascii="Times New Roman" w:hAnsi="Times New Roman" w:cs="Times New Roman"/>
          <w:sz w:val="24"/>
          <w:szCs w:val="24"/>
        </w:rPr>
        <w:t xml:space="preserve">New York City </w:t>
      </w:r>
      <w:r w:rsidR="00B424F1" w:rsidRPr="00FB16A0">
        <w:rPr>
          <w:rFonts w:ascii="Times New Roman" w:hAnsi="Times New Roman" w:cs="Times New Roman"/>
          <w:sz w:val="24"/>
          <w:szCs w:val="24"/>
        </w:rPr>
        <w:t xml:space="preserve">Commissioner </w:t>
      </w:r>
      <w:r w:rsidR="00B424F1">
        <w:rPr>
          <w:rFonts w:ascii="Times New Roman" w:hAnsi="Times New Roman" w:cs="Times New Roman"/>
          <w:sz w:val="24"/>
          <w:szCs w:val="24"/>
        </w:rPr>
        <w:t xml:space="preserve">of Finance </w:t>
      </w:r>
      <w:r w:rsidR="00B424F1" w:rsidRPr="00FB16A0">
        <w:rPr>
          <w:rFonts w:ascii="Times New Roman" w:hAnsi="Times New Roman" w:cs="Times New Roman"/>
          <w:sz w:val="24"/>
          <w:szCs w:val="24"/>
        </w:rPr>
        <w:t>in 201</w:t>
      </w:r>
      <w:r w:rsidR="00B424F1">
        <w:rPr>
          <w:rFonts w:ascii="Times New Roman" w:hAnsi="Times New Roman" w:cs="Times New Roman"/>
          <w:sz w:val="24"/>
          <w:szCs w:val="24"/>
        </w:rPr>
        <w:t>5</w:t>
      </w:r>
      <w:r w:rsidR="00B13C74">
        <w:rPr>
          <w:rFonts w:ascii="Times New Roman" w:hAnsi="Times New Roman" w:cs="Times New Roman"/>
          <w:sz w:val="24"/>
          <w:szCs w:val="24"/>
        </w:rPr>
        <w:t xml:space="preserve">. </w:t>
      </w:r>
      <w:r>
        <w:rPr>
          <w:rFonts w:ascii="Times New Roman" w:hAnsi="Times New Roman" w:cs="Times New Roman"/>
          <w:sz w:val="24"/>
          <w:szCs w:val="24"/>
        </w:rPr>
        <w:t>The OTA has two essential functions</w:t>
      </w:r>
      <w:r w:rsidR="009E4F46">
        <w:rPr>
          <w:rFonts w:ascii="Times New Roman" w:hAnsi="Times New Roman" w:cs="Times New Roman"/>
          <w:sz w:val="24"/>
          <w:szCs w:val="24"/>
        </w:rPr>
        <w:t xml:space="preserve">: </w:t>
      </w:r>
      <w:r>
        <w:rPr>
          <w:rFonts w:ascii="Times New Roman" w:hAnsi="Times New Roman" w:cs="Times New Roman"/>
          <w:sz w:val="24"/>
          <w:szCs w:val="24"/>
        </w:rPr>
        <w:t xml:space="preserve">to </w:t>
      </w:r>
      <w:r w:rsidR="008A70D5" w:rsidRPr="00FB16A0">
        <w:rPr>
          <w:rFonts w:ascii="Times New Roman" w:hAnsi="Times New Roman" w:cs="Times New Roman"/>
          <w:sz w:val="24"/>
          <w:szCs w:val="24"/>
        </w:rPr>
        <w:t>a</w:t>
      </w:r>
      <w:r>
        <w:rPr>
          <w:rFonts w:ascii="Times New Roman" w:hAnsi="Times New Roman" w:cs="Times New Roman"/>
          <w:sz w:val="24"/>
          <w:szCs w:val="24"/>
        </w:rPr>
        <w:t xml:space="preserve">dvocate on behalf of </w:t>
      </w:r>
      <w:r w:rsidR="00537541" w:rsidRPr="00FB16A0">
        <w:rPr>
          <w:rFonts w:ascii="Times New Roman" w:hAnsi="Times New Roman" w:cs="Times New Roman"/>
          <w:sz w:val="24"/>
          <w:szCs w:val="24"/>
        </w:rPr>
        <w:t>N</w:t>
      </w:r>
      <w:r w:rsidR="00AE10E9" w:rsidRPr="00FB16A0">
        <w:rPr>
          <w:rFonts w:ascii="Times New Roman" w:hAnsi="Times New Roman" w:cs="Times New Roman"/>
          <w:sz w:val="24"/>
          <w:szCs w:val="24"/>
        </w:rPr>
        <w:t xml:space="preserve">ew </w:t>
      </w:r>
      <w:r w:rsidR="00537541" w:rsidRPr="00FB16A0">
        <w:rPr>
          <w:rFonts w:ascii="Times New Roman" w:hAnsi="Times New Roman" w:cs="Times New Roman"/>
          <w:sz w:val="24"/>
          <w:szCs w:val="24"/>
        </w:rPr>
        <w:t>Y</w:t>
      </w:r>
      <w:r w:rsidR="00AE10E9" w:rsidRPr="00FB16A0">
        <w:rPr>
          <w:rFonts w:ascii="Times New Roman" w:hAnsi="Times New Roman" w:cs="Times New Roman"/>
          <w:sz w:val="24"/>
          <w:szCs w:val="24"/>
        </w:rPr>
        <w:t xml:space="preserve">ork </w:t>
      </w:r>
      <w:r w:rsidR="00537541" w:rsidRPr="00FB16A0">
        <w:rPr>
          <w:rFonts w:ascii="Times New Roman" w:hAnsi="Times New Roman" w:cs="Times New Roman"/>
          <w:sz w:val="24"/>
          <w:szCs w:val="24"/>
        </w:rPr>
        <w:t>C</w:t>
      </w:r>
      <w:r w:rsidR="00AE10E9" w:rsidRPr="00FB16A0">
        <w:rPr>
          <w:rFonts w:ascii="Times New Roman" w:hAnsi="Times New Roman" w:cs="Times New Roman"/>
          <w:sz w:val="24"/>
          <w:szCs w:val="24"/>
        </w:rPr>
        <w:t>ity</w:t>
      </w:r>
      <w:r w:rsidR="00537541" w:rsidRPr="00FB16A0">
        <w:rPr>
          <w:rFonts w:ascii="Times New Roman" w:hAnsi="Times New Roman" w:cs="Times New Roman"/>
          <w:sz w:val="24"/>
          <w:szCs w:val="24"/>
        </w:rPr>
        <w:t xml:space="preserve"> </w:t>
      </w:r>
      <w:r w:rsidR="008A70D5" w:rsidRPr="00FB16A0">
        <w:rPr>
          <w:rFonts w:ascii="Times New Roman" w:hAnsi="Times New Roman" w:cs="Times New Roman"/>
          <w:sz w:val="24"/>
          <w:szCs w:val="24"/>
        </w:rPr>
        <w:t xml:space="preserve">taxpayers and property owners </w:t>
      </w:r>
      <w:r w:rsidR="00A55385">
        <w:rPr>
          <w:rFonts w:ascii="Times New Roman" w:hAnsi="Times New Roman" w:cs="Times New Roman"/>
          <w:sz w:val="24"/>
          <w:szCs w:val="24"/>
        </w:rPr>
        <w:t xml:space="preserve">who are </w:t>
      </w:r>
      <w:r w:rsidR="00537541" w:rsidRPr="00FB16A0">
        <w:rPr>
          <w:rFonts w:ascii="Times New Roman" w:hAnsi="Times New Roman" w:cs="Times New Roman"/>
          <w:sz w:val="24"/>
          <w:szCs w:val="24"/>
        </w:rPr>
        <w:t xml:space="preserve">unable to resolve </w:t>
      </w:r>
      <w:r w:rsidR="00A55385">
        <w:rPr>
          <w:rFonts w:ascii="Times New Roman" w:hAnsi="Times New Roman" w:cs="Times New Roman"/>
          <w:sz w:val="24"/>
          <w:szCs w:val="24"/>
        </w:rPr>
        <w:t xml:space="preserve">their </w:t>
      </w:r>
      <w:r>
        <w:rPr>
          <w:rFonts w:ascii="Times New Roman" w:hAnsi="Times New Roman" w:cs="Times New Roman"/>
          <w:sz w:val="24"/>
          <w:szCs w:val="24"/>
        </w:rPr>
        <w:t xml:space="preserve">issues </w:t>
      </w:r>
      <w:r w:rsidR="008A70D5" w:rsidRPr="00FB16A0">
        <w:rPr>
          <w:rFonts w:ascii="Times New Roman" w:hAnsi="Times New Roman" w:cs="Times New Roman"/>
          <w:sz w:val="24"/>
          <w:szCs w:val="24"/>
        </w:rPr>
        <w:t>through</w:t>
      </w:r>
      <w:r w:rsidR="00AE7308">
        <w:rPr>
          <w:rFonts w:ascii="Times New Roman" w:hAnsi="Times New Roman" w:cs="Times New Roman"/>
          <w:sz w:val="24"/>
          <w:szCs w:val="24"/>
        </w:rPr>
        <w:t xml:space="preserve"> </w:t>
      </w:r>
      <w:r w:rsidR="008A70D5" w:rsidRPr="00FB16A0">
        <w:rPr>
          <w:rFonts w:ascii="Times New Roman" w:hAnsi="Times New Roman" w:cs="Times New Roman"/>
          <w:sz w:val="24"/>
          <w:szCs w:val="24"/>
        </w:rPr>
        <w:t xml:space="preserve">normal </w:t>
      </w:r>
      <w:r>
        <w:rPr>
          <w:rFonts w:ascii="Times New Roman" w:hAnsi="Times New Roman" w:cs="Times New Roman"/>
          <w:sz w:val="24"/>
          <w:szCs w:val="24"/>
        </w:rPr>
        <w:t>Department</w:t>
      </w:r>
      <w:r w:rsidR="00A55385">
        <w:rPr>
          <w:rFonts w:ascii="Times New Roman" w:hAnsi="Times New Roman" w:cs="Times New Roman"/>
          <w:sz w:val="24"/>
          <w:szCs w:val="24"/>
        </w:rPr>
        <w:t xml:space="preserve"> of Finance (“DOF”) </w:t>
      </w:r>
      <w:r>
        <w:rPr>
          <w:rFonts w:ascii="Times New Roman" w:hAnsi="Times New Roman" w:cs="Times New Roman"/>
          <w:sz w:val="24"/>
          <w:szCs w:val="24"/>
        </w:rPr>
        <w:t>channels, and</w:t>
      </w:r>
      <w:r w:rsidR="00537541" w:rsidRPr="00FB16A0">
        <w:rPr>
          <w:rFonts w:ascii="Times New Roman" w:hAnsi="Times New Roman" w:cs="Times New Roman"/>
          <w:sz w:val="24"/>
          <w:szCs w:val="24"/>
        </w:rPr>
        <w:t xml:space="preserve"> </w:t>
      </w:r>
      <w:r w:rsidR="00A55385">
        <w:rPr>
          <w:rFonts w:ascii="Times New Roman" w:hAnsi="Times New Roman" w:cs="Times New Roman"/>
          <w:sz w:val="24"/>
          <w:szCs w:val="24"/>
        </w:rPr>
        <w:t xml:space="preserve">to </w:t>
      </w:r>
      <w:r w:rsidR="00783B6F" w:rsidRPr="00FB16A0">
        <w:rPr>
          <w:rFonts w:ascii="Times New Roman" w:hAnsi="Times New Roman" w:cs="Times New Roman"/>
          <w:sz w:val="24"/>
          <w:szCs w:val="24"/>
        </w:rPr>
        <w:t>identify</w:t>
      </w:r>
      <w:r w:rsidR="00385418">
        <w:rPr>
          <w:rFonts w:ascii="Times New Roman" w:hAnsi="Times New Roman" w:cs="Times New Roman"/>
          <w:sz w:val="24"/>
          <w:szCs w:val="24"/>
        </w:rPr>
        <w:t xml:space="preserve"> and analyze </w:t>
      </w:r>
      <w:r w:rsidR="008A70D5" w:rsidRPr="00FB16A0">
        <w:rPr>
          <w:rFonts w:ascii="Times New Roman" w:hAnsi="Times New Roman" w:cs="Times New Roman"/>
          <w:sz w:val="24"/>
          <w:szCs w:val="24"/>
        </w:rPr>
        <w:t>sys</w:t>
      </w:r>
      <w:r w:rsidR="00DC0ECF" w:rsidRPr="00FB16A0">
        <w:rPr>
          <w:rFonts w:ascii="Times New Roman" w:hAnsi="Times New Roman" w:cs="Times New Roman"/>
          <w:sz w:val="24"/>
          <w:szCs w:val="24"/>
        </w:rPr>
        <w:t xml:space="preserve">temic </w:t>
      </w:r>
      <w:r w:rsidR="00385418">
        <w:rPr>
          <w:rFonts w:ascii="Times New Roman" w:hAnsi="Times New Roman" w:cs="Times New Roman"/>
          <w:sz w:val="24"/>
          <w:szCs w:val="24"/>
        </w:rPr>
        <w:t>problems taxpayers encounter in resolving matters</w:t>
      </w:r>
      <w:r w:rsidR="00971EAC">
        <w:rPr>
          <w:rFonts w:ascii="Times New Roman" w:hAnsi="Times New Roman" w:cs="Times New Roman"/>
          <w:sz w:val="24"/>
          <w:szCs w:val="24"/>
        </w:rPr>
        <w:t xml:space="preserve"> </w:t>
      </w:r>
      <w:r w:rsidR="00385418">
        <w:rPr>
          <w:rFonts w:ascii="Times New Roman" w:hAnsi="Times New Roman" w:cs="Times New Roman"/>
          <w:sz w:val="24"/>
          <w:szCs w:val="24"/>
        </w:rPr>
        <w:t>within the Department and issue recommendations for corrective measures</w:t>
      </w:r>
      <w:r w:rsidR="00971EAC">
        <w:rPr>
          <w:rFonts w:ascii="Times New Roman" w:hAnsi="Times New Roman" w:cs="Times New Roman"/>
          <w:sz w:val="24"/>
          <w:szCs w:val="24"/>
        </w:rPr>
        <w:t xml:space="preserve"> to resolve these problems.</w:t>
      </w:r>
    </w:p>
    <w:p w:rsidR="00A55385" w:rsidRDefault="008A70D5">
      <w:pPr>
        <w:rPr>
          <w:rFonts w:ascii="Times New Roman" w:hAnsi="Times New Roman" w:cs="Times New Roman"/>
          <w:sz w:val="24"/>
          <w:szCs w:val="24"/>
        </w:rPr>
      </w:pPr>
      <w:r w:rsidRPr="00FB16A0">
        <w:rPr>
          <w:rFonts w:ascii="Times New Roman" w:hAnsi="Times New Roman" w:cs="Times New Roman"/>
          <w:sz w:val="24"/>
          <w:szCs w:val="24"/>
        </w:rPr>
        <w:t>The services of the Taxpayer Advocate are available to</w:t>
      </w:r>
      <w:r w:rsidR="00537541" w:rsidRPr="00FB16A0">
        <w:rPr>
          <w:rFonts w:ascii="Times New Roman" w:hAnsi="Times New Roman" w:cs="Times New Roman"/>
          <w:sz w:val="24"/>
          <w:szCs w:val="24"/>
        </w:rPr>
        <w:t xml:space="preserve"> </w:t>
      </w:r>
      <w:r w:rsidR="004D1D1A">
        <w:rPr>
          <w:rFonts w:ascii="Times New Roman" w:hAnsi="Times New Roman" w:cs="Times New Roman"/>
          <w:sz w:val="24"/>
          <w:szCs w:val="24"/>
        </w:rPr>
        <w:t xml:space="preserve">all </w:t>
      </w:r>
      <w:r w:rsidR="00537541" w:rsidRPr="00FB16A0">
        <w:rPr>
          <w:rFonts w:ascii="Times New Roman" w:hAnsi="Times New Roman" w:cs="Times New Roman"/>
          <w:sz w:val="24"/>
          <w:szCs w:val="24"/>
        </w:rPr>
        <w:t>NYC</w:t>
      </w:r>
      <w:r w:rsidRPr="00FB16A0">
        <w:rPr>
          <w:rFonts w:ascii="Times New Roman" w:hAnsi="Times New Roman" w:cs="Times New Roman"/>
          <w:sz w:val="24"/>
          <w:szCs w:val="24"/>
        </w:rPr>
        <w:t xml:space="preserve"> taxpayers and property owners that meet criteria</w:t>
      </w:r>
      <w:r w:rsidR="00537541" w:rsidRPr="00FB16A0">
        <w:rPr>
          <w:rFonts w:ascii="Times New Roman" w:hAnsi="Times New Roman" w:cs="Times New Roman"/>
          <w:sz w:val="24"/>
          <w:szCs w:val="24"/>
        </w:rPr>
        <w:t xml:space="preserve"> establi</w:t>
      </w:r>
      <w:r w:rsidR="00983C2B">
        <w:rPr>
          <w:rFonts w:ascii="Times New Roman" w:hAnsi="Times New Roman" w:cs="Times New Roman"/>
          <w:sz w:val="24"/>
          <w:szCs w:val="24"/>
        </w:rPr>
        <w:t>shed by</w:t>
      </w:r>
      <w:r w:rsidR="00AE10E9" w:rsidRPr="00FB16A0">
        <w:rPr>
          <w:rFonts w:ascii="Times New Roman" w:hAnsi="Times New Roman" w:cs="Times New Roman"/>
          <w:sz w:val="24"/>
          <w:szCs w:val="24"/>
        </w:rPr>
        <w:t xml:space="preserve"> OTA</w:t>
      </w:r>
      <w:r w:rsidR="00D62BAA">
        <w:rPr>
          <w:rFonts w:ascii="Times New Roman" w:hAnsi="Times New Roman" w:cs="Times New Roman"/>
          <w:sz w:val="24"/>
          <w:szCs w:val="24"/>
        </w:rPr>
        <w:t>.</w:t>
      </w:r>
      <w:r w:rsidR="009E4F46">
        <w:rPr>
          <w:rStyle w:val="FootnoteReference"/>
          <w:rFonts w:ascii="Times New Roman" w:hAnsi="Times New Roman" w:cs="Times New Roman"/>
          <w:sz w:val="24"/>
          <w:szCs w:val="24"/>
        </w:rPr>
        <w:footnoteReference w:id="1"/>
      </w:r>
      <w:r w:rsidR="00D62BAA">
        <w:rPr>
          <w:rFonts w:ascii="Times New Roman" w:hAnsi="Times New Roman" w:cs="Times New Roman"/>
          <w:sz w:val="24"/>
          <w:szCs w:val="24"/>
        </w:rPr>
        <w:t xml:space="preserve"> </w:t>
      </w:r>
      <w:r w:rsidR="00537541" w:rsidRPr="00FB16A0">
        <w:rPr>
          <w:rFonts w:ascii="Times New Roman" w:hAnsi="Times New Roman" w:cs="Times New Roman"/>
          <w:sz w:val="24"/>
          <w:szCs w:val="24"/>
        </w:rPr>
        <w:t>Since its inception</w:t>
      </w:r>
      <w:r w:rsidR="00664F7C">
        <w:rPr>
          <w:rFonts w:ascii="Times New Roman" w:hAnsi="Times New Roman" w:cs="Times New Roman"/>
          <w:sz w:val="24"/>
          <w:szCs w:val="24"/>
        </w:rPr>
        <w:t xml:space="preserve"> on October 19, 2015</w:t>
      </w:r>
      <w:r w:rsidR="00537541" w:rsidRPr="00FB16A0">
        <w:rPr>
          <w:rFonts w:ascii="Times New Roman" w:hAnsi="Times New Roman" w:cs="Times New Roman"/>
          <w:sz w:val="24"/>
          <w:szCs w:val="24"/>
        </w:rPr>
        <w:t xml:space="preserve">, OTA has </w:t>
      </w:r>
      <w:r w:rsidR="00A55385">
        <w:rPr>
          <w:rFonts w:ascii="Times New Roman" w:hAnsi="Times New Roman" w:cs="Times New Roman"/>
          <w:sz w:val="24"/>
          <w:szCs w:val="24"/>
        </w:rPr>
        <w:t>successfully advocated</w:t>
      </w:r>
      <w:r w:rsidR="004D1D1A">
        <w:rPr>
          <w:rFonts w:ascii="Times New Roman" w:hAnsi="Times New Roman" w:cs="Times New Roman"/>
          <w:sz w:val="24"/>
          <w:szCs w:val="24"/>
        </w:rPr>
        <w:t xml:space="preserve"> on behalf of </w:t>
      </w:r>
      <w:r w:rsidR="009E4F46">
        <w:rPr>
          <w:rFonts w:ascii="Times New Roman" w:hAnsi="Times New Roman" w:cs="Times New Roman"/>
          <w:sz w:val="24"/>
          <w:szCs w:val="24"/>
        </w:rPr>
        <w:t>430</w:t>
      </w:r>
      <w:r w:rsidR="00A55385">
        <w:rPr>
          <w:rFonts w:ascii="Times New Roman" w:hAnsi="Times New Roman" w:cs="Times New Roman"/>
          <w:sz w:val="24"/>
          <w:szCs w:val="24"/>
        </w:rPr>
        <w:t xml:space="preserve"> </w:t>
      </w:r>
      <w:r w:rsidR="004D1D1A">
        <w:rPr>
          <w:rFonts w:ascii="Times New Roman" w:hAnsi="Times New Roman" w:cs="Times New Roman"/>
          <w:sz w:val="24"/>
          <w:szCs w:val="24"/>
        </w:rPr>
        <w:t>ta</w:t>
      </w:r>
      <w:r w:rsidR="00A55385">
        <w:rPr>
          <w:rFonts w:ascii="Times New Roman" w:hAnsi="Times New Roman" w:cs="Times New Roman"/>
          <w:sz w:val="24"/>
          <w:szCs w:val="24"/>
        </w:rPr>
        <w:t>xpayers</w:t>
      </w:r>
      <w:r w:rsidR="003578CF">
        <w:rPr>
          <w:rFonts w:ascii="Times New Roman" w:hAnsi="Times New Roman" w:cs="Times New Roman"/>
          <w:sz w:val="24"/>
          <w:szCs w:val="24"/>
        </w:rPr>
        <w:t xml:space="preserve"> </w:t>
      </w:r>
      <w:r w:rsidR="00A55385">
        <w:rPr>
          <w:rFonts w:ascii="Times New Roman" w:hAnsi="Times New Roman" w:cs="Times New Roman"/>
          <w:sz w:val="24"/>
          <w:szCs w:val="24"/>
        </w:rPr>
        <w:t>and property owners, resulting</w:t>
      </w:r>
      <w:r w:rsidR="004D1D1A">
        <w:rPr>
          <w:rFonts w:ascii="Times New Roman" w:hAnsi="Times New Roman" w:cs="Times New Roman"/>
          <w:sz w:val="24"/>
          <w:szCs w:val="24"/>
        </w:rPr>
        <w:t xml:space="preserve"> in </w:t>
      </w:r>
      <w:r w:rsidR="00A557FA">
        <w:rPr>
          <w:rFonts w:ascii="Times New Roman" w:hAnsi="Times New Roman"/>
          <w:sz w:val="24"/>
          <w:szCs w:val="24"/>
        </w:rPr>
        <w:t xml:space="preserve">$1,234,306 </w:t>
      </w:r>
      <w:r w:rsidR="004D1D1A">
        <w:rPr>
          <w:rFonts w:ascii="Times New Roman" w:hAnsi="Times New Roman"/>
          <w:sz w:val="24"/>
          <w:szCs w:val="24"/>
        </w:rPr>
        <w:t>in business and propert</w:t>
      </w:r>
      <w:r w:rsidR="00D62BAA">
        <w:rPr>
          <w:rFonts w:ascii="Times New Roman" w:hAnsi="Times New Roman"/>
          <w:sz w:val="24"/>
          <w:szCs w:val="24"/>
        </w:rPr>
        <w:t>y tax refunds</w:t>
      </w:r>
      <w:r w:rsidR="003578CF">
        <w:rPr>
          <w:rFonts w:ascii="Times New Roman" w:hAnsi="Times New Roman"/>
          <w:sz w:val="24"/>
          <w:szCs w:val="24"/>
        </w:rPr>
        <w:t xml:space="preserve"> </w:t>
      </w:r>
      <w:r w:rsidR="00A557FA">
        <w:rPr>
          <w:rFonts w:ascii="Times New Roman" w:hAnsi="Times New Roman"/>
          <w:sz w:val="24"/>
          <w:szCs w:val="24"/>
        </w:rPr>
        <w:t xml:space="preserve">and $3,295,212 </w:t>
      </w:r>
      <w:r w:rsidR="004D1D1A">
        <w:rPr>
          <w:rFonts w:ascii="Times New Roman" w:hAnsi="Times New Roman"/>
          <w:sz w:val="24"/>
          <w:szCs w:val="24"/>
        </w:rPr>
        <w:t xml:space="preserve">in </w:t>
      </w:r>
      <w:r w:rsidR="00A55385">
        <w:rPr>
          <w:rFonts w:ascii="Times New Roman" w:hAnsi="Times New Roman"/>
          <w:sz w:val="24"/>
          <w:szCs w:val="24"/>
        </w:rPr>
        <w:t>property tax exemption</w:t>
      </w:r>
      <w:r w:rsidR="001411EC">
        <w:rPr>
          <w:rFonts w:ascii="Times New Roman" w:hAnsi="Times New Roman"/>
          <w:sz w:val="24"/>
          <w:szCs w:val="24"/>
        </w:rPr>
        <w:t>s</w:t>
      </w:r>
      <w:r w:rsidR="00A55385">
        <w:rPr>
          <w:rFonts w:ascii="Times New Roman" w:hAnsi="Times New Roman"/>
          <w:sz w:val="24"/>
          <w:szCs w:val="24"/>
        </w:rPr>
        <w:t xml:space="preserve"> and </w:t>
      </w:r>
      <w:r w:rsidR="00D62BAA">
        <w:rPr>
          <w:rFonts w:ascii="Times New Roman" w:hAnsi="Times New Roman"/>
          <w:sz w:val="24"/>
          <w:szCs w:val="24"/>
        </w:rPr>
        <w:t>abatements</w:t>
      </w:r>
      <w:r w:rsidR="00971EAC">
        <w:rPr>
          <w:rFonts w:ascii="Times New Roman" w:hAnsi="Times New Roman"/>
          <w:sz w:val="24"/>
          <w:szCs w:val="24"/>
        </w:rPr>
        <w:t>.</w:t>
      </w:r>
      <w:r w:rsidR="00A557FA">
        <w:rPr>
          <w:rStyle w:val="FootnoteReference"/>
          <w:rFonts w:ascii="Times New Roman" w:hAnsi="Times New Roman"/>
          <w:sz w:val="24"/>
          <w:szCs w:val="24"/>
        </w:rPr>
        <w:footnoteReference w:id="2"/>
      </w:r>
      <w:r w:rsidR="00D62BAA">
        <w:rPr>
          <w:rFonts w:ascii="Times New Roman" w:hAnsi="Times New Roman"/>
          <w:sz w:val="24"/>
          <w:szCs w:val="24"/>
        </w:rPr>
        <w:t xml:space="preserve"> </w:t>
      </w:r>
      <w:r w:rsidR="003578CF">
        <w:rPr>
          <w:rFonts w:ascii="Times New Roman" w:hAnsi="Times New Roman"/>
          <w:sz w:val="24"/>
          <w:szCs w:val="24"/>
        </w:rPr>
        <w:t xml:space="preserve">OTA has </w:t>
      </w:r>
      <w:r w:rsidR="00D62BAA">
        <w:rPr>
          <w:rFonts w:ascii="Times New Roman" w:hAnsi="Times New Roman"/>
          <w:sz w:val="24"/>
          <w:szCs w:val="24"/>
        </w:rPr>
        <w:t xml:space="preserve">assisted </w:t>
      </w:r>
      <w:r w:rsidR="00A55385">
        <w:rPr>
          <w:rFonts w:ascii="Times New Roman" w:hAnsi="Times New Roman" w:cs="Times New Roman"/>
          <w:sz w:val="24"/>
          <w:szCs w:val="24"/>
        </w:rPr>
        <w:t xml:space="preserve">an additional </w:t>
      </w:r>
      <w:r w:rsidR="009E4F46">
        <w:rPr>
          <w:rFonts w:ascii="Times New Roman" w:hAnsi="Times New Roman" w:cs="Times New Roman"/>
          <w:sz w:val="24"/>
          <w:szCs w:val="24"/>
        </w:rPr>
        <w:t xml:space="preserve">798 </w:t>
      </w:r>
      <w:r w:rsidR="00833001" w:rsidRPr="00FB16A0">
        <w:rPr>
          <w:rFonts w:ascii="Times New Roman" w:hAnsi="Times New Roman" w:cs="Times New Roman"/>
          <w:sz w:val="24"/>
          <w:szCs w:val="24"/>
        </w:rPr>
        <w:t>taxpayers</w:t>
      </w:r>
      <w:r w:rsidR="00537541" w:rsidRPr="00FB16A0">
        <w:rPr>
          <w:rFonts w:ascii="Times New Roman" w:hAnsi="Times New Roman" w:cs="Times New Roman"/>
          <w:sz w:val="24"/>
          <w:szCs w:val="24"/>
        </w:rPr>
        <w:t xml:space="preserve"> </w:t>
      </w:r>
      <w:r w:rsidR="00833001" w:rsidRPr="00FB16A0">
        <w:rPr>
          <w:rFonts w:ascii="Times New Roman" w:hAnsi="Times New Roman" w:cs="Times New Roman"/>
          <w:sz w:val="24"/>
          <w:szCs w:val="24"/>
        </w:rPr>
        <w:t xml:space="preserve">with </w:t>
      </w:r>
      <w:r w:rsidR="00A55385">
        <w:rPr>
          <w:rFonts w:ascii="Times New Roman" w:hAnsi="Times New Roman" w:cs="Times New Roman"/>
          <w:sz w:val="24"/>
          <w:szCs w:val="24"/>
        </w:rPr>
        <w:t xml:space="preserve">inquiries </w:t>
      </w:r>
      <w:r w:rsidR="00D530C5">
        <w:rPr>
          <w:rFonts w:ascii="Times New Roman" w:hAnsi="Times New Roman" w:cs="Times New Roman"/>
          <w:sz w:val="24"/>
          <w:szCs w:val="24"/>
        </w:rPr>
        <w:t>on how to compl</w:t>
      </w:r>
      <w:r w:rsidR="00A557FA">
        <w:rPr>
          <w:rFonts w:ascii="Times New Roman" w:hAnsi="Times New Roman" w:cs="Times New Roman"/>
          <w:sz w:val="24"/>
          <w:szCs w:val="24"/>
        </w:rPr>
        <w:t>y with taxes administered by DOF</w:t>
      </w:r>
      <w:r w:rsidR="00D530C5">
        <w:rPr>
          <w:rFonts w:ascii="Times New Roman" w:hAnsi="Times New Roman" w:cs="Times New Roman"/>
          <w:sz w:val="24"/>
          <w:szCs w:val="24"/>
        </w:rPr>
        <w:t xml:space="preserve">. </w:t>
      </w:r>
    </w:p>
    <w:p w:rsidR="00AA5533" w:rsidRPr="00597AD4" w:rsidRDefault="00D62BAA">
      <w:pPr>
        <w:rPr>
          <w:rFonts w:ascii="Times New Roman" w:hAnsi="Times New Roman" w:cs="Times New Roman"/>
          <w:sz w:val="24"/>
          <w:szCs w:val="24"/>
        </w:rPr>
      </w:pPr>
      <w:r>
        <w:rPr>
          <w:rFonts w:ascii="Times New Roman" w:hAnsi="Times New Roman" w:cs="Times New Roman"/>
          <w:sz w:val="24"/>
          <w:szCs w:val="24"/>
        </w:rPr>
        <w:t>Through its efforts</w:t>
      </w:r>
      <w:r w:rsidR="00A95B81">
        <w:rPr>
          <w:rFonts w:ascii="Times New Roman" w:hAnsi="Times New Roman" w:cs="Times New Roman"/>
          <w:sz w:val="24"/>
          <w:szCs w:val="24"/>
        </w:rPr>
        <w:t xml:space="preserve">, </w:t>
      </w:r>
      <w:r w:rsidR="00026FF4" w:rsidRPr="00FB16A0">
        <w:rPr>
          <w:rFonts w:ascii="Times New Roman" w:hAnsi="Times New Roman" w:cs="Times New Roman"/>
          <w:sz w:val="24"/>
          <w:szCs w:val="24"/>
        </w:rPr>
        <w:t xml:space="preserve">OTA is in a unique position to </w:t>
      </w:r>
      <w:r w:rsidR="00597AC6" w:rsidRPr="00FB16A0">
        <w:rPr>
          <w:rFonts w:ascii="Times New Roman" w:hAnsi="Times New Roman" w:cs="Times New Roman"/>
          <w:sz w:val="24"/>
          <w:szCs w:val="24"/>
        </w:rPr>
        <w:t>identif</w:t>
      </w:r>
      <w:r w:rsidR="00026FF4" w:rsidRPr="00FB16A0">
        <w:rPr>
          <w:rFonts w:ascii="Times New Roman" w:hAnsi="Times New Roman" w:cs="Times New Roman"/>
          <w:sz w:val="24"/>
          <w:szCs w:val="24"/>
        </w:rPr>
        <w:t>y</w:t>
      </w:r>
      <w:r w:rsidR="00A95B81" w:rsidRPr="00A95B81">
        <w:rPr>
          <w:rFonts w:ascii="Times New Roman" w:hAnsi="Times New Roman" w:cs="Times New Roman"/>
          <w:sz w:val="24"/>
          <w:szCs w:val="24"/>
        </w:rPr>
        <w:t xml:space="preserve"> </w:t>
      </w:r>
      <w:r w:rsidR="00A95B81">
        <w:rPr>
          <w:rFonts w:ascii="Times New Roman" w:hAnsi="Times New Roman" w:cs="Times New Roman"/>
          <w:sz w:val="24"/>
          <w:szCs w:val="24"/>
        </w:rPr>
        <w:t xml:space="preserve">technically complicated or confusing </w:t>
      </w:r>
      <w:r w:rsidR="00A95B81" w:rsidRPr="00FB16A0">
        <w:rPr>
          <w:rFonts w:ascii="Times New Roman" w:hAnsi="Times New Roman" w:cs="Times New Roman"/>
          <w:sz w:val="24"/>
          <w:szCs w:val="24"/>
        </w:rPr>
        <w:t>administrative rules</w:t>
      </w:r>
      <w:r w:rsidR="00D530C5">
        <w:rPr>
          <w:rFonts w:ascii="Times New Roman" w:hAnsi="Times New Roman" w:cs="Times New Roman"/>
          <w:sz w:val="24"/>
          <w:szCs w:val="24"/>
        </w:rPr>
        <w:t xml:space="preserve"> or </w:t>
      </w:r>
      <w:r w:rsidR="00A95B81">
        <w:rPr>
          <w:rFonts w:ascii="Times New Roman" w:hAnsi="Times New Roman" w:cs="Times New Roman"/>
          <w:sz w:val="24"/>
          <w:szCs w:val="24"/>
        </w:rPr>
        <w:t xml:space="preserve">DOF policies </w:t>
      </w:r>
      <w:r w:rsidR="003578CF">
        <w:rPr>
          <w:rFonts w:ascii="Times New Roman" w:hAnsi="Times New Roman" w:cs="Times New Roman"/>
          <w:sz w:val="24"/>
          <w:szCs w:val="24"/>
        </w:rPr>
        <w:t xml:space="preserve">requiring </w:t>
      </w:r>
      <w:r w:rsidR="009E4F46">
        <w:rPr>
          <w:rFonts w:ascii="Times New Roman" w:hAnsi="Times New Roman" w:cs="Times New Roman"/>
          <w:sz w:val="24"/>
          <w:szCs w:val="24"/>
        </w:rPr>
        <w:t>additional guidance.</w:t>
      </w:r>
      <w:r>
        <w:rPr>
          <w:rFonts w:ascii="Times New Roman" w:hAnsi="Times New Roman" w:cs="Times New Roman"/>
          <w:sz w:val="24"/>
          <w:szCs w:val="24"/>
        </w:rPr>
        <w:t xml:space="preserve"> </w:t>
      </w:r>
      <w:r w:rsidR="00B13C74">
        <w:rPr>
          <w:rFonts w:ascii="Times New Roman" w:hAnsi="Times New Roman" w:cs="Times New Roman"/>
          <w:sz w:val="24"/>
          <w:szCs w:val="24"/>
        </w:rPr>
        <w:t xml:space="preserve">The mission of </w:t>
      </w:r>
      <w:r w:rsidR="00AE7308">
        <w:rPr>
          <w:rFonts w:ascii="Times New Roman" w:hAnsi="Times New Roman"/>
          <w:sz w:val="24"/>
          <w:szCs w:val="24"/>
        </w:rPr>
        <w:t>OTA</w:t>
      </w:r>
      <w:r w:rsidR="00B13C74">
        <w:rPr>
          <w:rFonts w:ascii="Times New Roman" w:hAnsi="Times New Roman"/>
          <w:sz w:val="24"/>
          <w:szCs w:val="24"/>
        </w:rPr>
        <w:t xml:space="preserve"> is</w:t>
      </w:r>
      <w:r w:rsidR="00AA5533">
        <w:rPr>
          <w:rFonts w:ascii="Times New Roman" w:hAnsi="Times New Roman"/>
          <w:sz w:val="24"/>
          <w:szCs w:val="24"/>
        </w:rPr>
        <w:t xml:space="preserve"> to determine the cause</w:t>
      </w:r>
      <w:r w:rsidR="00A95B81">
        <w:rPr>
          <w:rFonts w:ascii="Times New Roman" w:hAnsi="Times New Roman"/>
          <w:sz w:val="24"/>
          <w:szCs w:val="24"/>
        </w:rPr>
        <w:t xml:space="preserve"> of such confusion and assist taxpayer</w:t>
      </w:r>
      <w:r w:rsidR="003578CF">
        <w:rPr>
          <w:rFonts w:ascii="Times New Roman" w:hAnsi="Times New Roman"/>
          <w:sz w:val="24"/>
          <w:szCs w:val="24"/>
        </w:rPr>
        <w:t>s</w:t>
      </w:r>
      <w:r w:rsidR="00A95B81">
        <w:rPr>
          <w:rFonts w:ascii="Times New Roman" w:hAnsi="Times New Roman"/>
          <w:sz w:val="24"/>
          <w:szCs w:val="24"/>
        </w:rPr>
        <w:t xml:space="preserve"> in unde</w:t>
      </w:r>
      <w:r w:rsidR="00D530C5">
        <w:rPr>
          <w:rFonts w:ascii="Times New Roman" w:hAnsi="Times New Roman"/>
          <w:sz w:val="24"/>
          <w:szCs w:val="24"/>
        </w:rPr>
        <w:t xml:space="preserve">rstanding </w:t>
      </w:r>
      <w:r w:rsidR="003578CF">
        <w:rPr>
          <w:rFonts w:ascii="Times New Roman" w:hAnsi="Times New Roman"/>
          <w:sz w:val="24"/>
          <w:szCs w:val="24"/>
        </w:rPr>
        <w:t xml:space="preserve">their tax </w:t>
      </w:r>
      <w:r w:rsidR="00D530C5">
        <w:rPr>
          <w:rFonts w:ascii="Times New Roman" w:hAnsi="Times New Roman"/>
          <w:sz w:val="24"/>
          <w:szCs w:val="24"/>
        </w:rPr>
        <w:t>obligation</w:t>
      </w:r>
      <w:r w:rsidR="003578CF">
        <w:rPr>
          <w:rFonts w:ascii="Times New Roman" w:hAnsi="Times New Roman"/>
          <w:sz w:val="24"/>
          <w:szCs w:val="24"/>
        </w:rPr>
        <w:t>s</w:t>
      </w:r>
      <w:r w:rsidR="009E4F46">
        <w:rPr>
          <w:rFonts w:ascii="Times New Roman" w:hAnsi="Times New Roman"/>
          <w:sz w:val="24"/>
          <w:szCs w:val="24"/>
        </w:rPr>
        <w:t>.</w:t>
      </w:r>
      <w:r w:rsidR="00A95B81">
        <w:rPr>
          <w:rFonts w:ascii="Times New Roman" w:hAnsi="Times New Roman"/>
          <w:sz w:val="24"/>
          <w:szCs w:val="24"/>
        </w:rPr>
        <w:t xml:space="preserve"> Where OTA determines that existing rules or practices could </w:t>
      </w:r>
      <w:r w:rsidR="00D530C5">
        <w:rPr>
          <w:rFonts w:ascii="Times New Roman" w:hAnsi="Times New Roman"/>
          <w:sz w:val="24"/>
          <w:szCs w:val="24"/>
        </w:rPr>
        <w:t xml:space="preserve">lead to inequitable results, </w:t>
      </w:r>
      <w:r w:rsidR="00A95B81">
        <w:rPr>
          <w:rFonts w:ascii="Times New Roman" w:hAnsi="Times New Roman"/>
          <w:sz w:val="24"/>
          <w:szCs w:val="24"/>
        </w:rPr>
        <w:t xml:space="preserve">OTA makes </w:t>
      </w:r>
      <w:r w:rsidR="00AA5533">
        <w:rPr>
          <w:rFonts w:ascii="Times New Roman" w:hAnsi="Times New Roman"/>
          <w:sz w:val="24"/>
          <w:szCs w:val="24"/>
        </w:rPr>
        <w:t>recommend</w:t>
      </w:r>
      <w:r w:rsidR="00A95B81">
        <w:rPr>
          <w:rFonts w:ascii="Times New Roman" w:hAnsi="Times New Roman"/>
          <w:sz w:val="24"/>
          <w:szCs w:val="24"/>
        </w:rPr>
        <w:t>ations to</w:t>
      </w:r>
      <w:r w:rsidR="003578CF">
        <w:rPr>
          <w:rFonts w:ascii="Times New Roman" w:hAnsi="Times New Roman"/>
          <w:sz w:val="24"/>
          <w:szCs w:val="24"/>
        </w:rPr>
        <w:t xml:space="preserve"> amend or clarify such rules or practices to</w:t>
      </w:r>
      <w:r w:rsidR="00A95B81">
        <w:rPr>
          <w:rFonts w:ascii="Times New Roman" w:hAnsi="Times New Roman"/>
          <w:sz w:val="24"/>
          <w:szCs w:val="24"/>
        </w:rPr>
        <w:t xml:space="preserve"> mitigate such inequit</w:t>
      </w:r>
      <w:r w:rsidR="00D530C5">
        <w:rPr>
          <w:rFonts w:ascii="Times New Roman" w:hAnsi="Times New Roman"/>
          <w:sz w:val="24"/>
          <w:szCs w:val="24"/>
        </w:rPr>
        <w:t>ies.</w:t>
      </w:r>
    </w:p>
    <w:p w:rsidR="00DB35CD" w:rsidRPr="00FB16A0" w:rsidRDefault="00AA5533">
      <w:pPr>
        <w:rPr>
          <w:rFonts w:ascii="Times New Roman" w:hAnsi="Times New Roman" w:cs="Times New Roman"/>
          <w:sz w:val="24"/>
          <w:szCs w:val="24"/>
        </w:rPr>
      </w:pPr>
      <w:r>
        <w:rPr>
          <w:rFonts w:ascii="Times New Roman" w:hAnsi="Times New Roman"/>
          <w:sz w:val="24"/>
          <w:szCs w:val="24"/>
        </w:rPr>
        <w:t>OTA issued its</w:t>
      </w:r>
      <w:r w:rsidR="00AE7308">
        <w:rPr>
          <w:rFonts w:ascii="Times New Roman" w:hAnsi="Times New Roman"/>
          <w:sz w:val="24"/>
          <w:szCs w:val="24"/>
        </w:rPr>
        <w:t xml:space="preserve"> first Annual Report on May 1, 2016</w:t>
      </w:r>
      <w:r w:rsidR="00971EAC">
        <w:rPr>
          <w:rFonts w:ascii="Times New Roman" w:hAnsi="Times New Roman"/>
          <w:sz w:val="24"/>
          <w:szCs w:val="24"/>
        </w:rPr>
        <w:t>,</w:t>
      </w:r>
      <w:r w:rsidR="009E4F46">
        <w:rPr>
          <w:rStyle w:val="FootnoteReference"/>
          <w:rFonts w:ascii="Times New Roman" w:hAnsi="Times New Roman"/>
          <w:sz w:val="24"/>
          <w:szCs w:val="24"/>
        </w:rPr>
        <w:footnoteReference w:id="3"/>
      </w:r>
      <w:r w:rsidR="003578CF">
        <w:rPr>
          <w:rFonts w:ascii="Times New Roman" w:hAnsi="Times New Roman"/>
          <w:sz w:val="24"/>
          <w:szCs w:val="24"/>
        </w:rPr>
        <w:t xml:space="preserve"> covering the period October 19, 2015 to April 1, 2016</w:t>
      </w:r>
      <w:r w:rsidR="00AE7308">
        <w:rPr>
          <w:rFonts w:ascii="Times New Roman" w:hAnsi="Times New Roman"/>
          <w:sz w:val="24"/>
          <w:szCs w:val="24"/>
        </w:rPr>
        <w:t xml:space="preserve">. </w:t>
      </w:r>
      <w:r w:rsidR="00D530C5">
        <w:rPr>
          <w:rFonts w:ascii="Times New Roman" w:hAnsi="Times New Roman" w:cs="Times New Roman"/>
          <w:sz w:val="24"/>
          <w:szCs w:val="24"/>
        </w:rPr>
        <w:t xml:space="preserve">This </w:t>
      </w:r>
      <w:r w:rsidR="00597AC6" w:rsidRPr="00FB16A0">
        <w:rPr>
          <w:rFonts w:ascii="Times New Roman" w:hAnsi="Times New Roman" w:cs="Times New Roman"/>
          <w:sz w:val="24"/>
          <w:szCs w:val="24"/>
        </w:rPr>
        <w:t xml:space="preserve">report </w:t>
      </w:r>
      <w:r w:rsidR="003578CF">
        <w:rPr>
          <w:rFonts w:ascii="Times New Roman" w:hAnsi="Times New Roman" w:cs="Times New Roman"/>
          <w:sz w:val="24"/>
          <w:szCs w:val="24"/>
        </w:rPr>
        <w:t xml:space="preserve">covers OTA’s activities for the period April 1, 2016 to March 31, 2017, </w:t>
      </w:r>
      <w:r w:rsidR="00D31093">
        <w:rPr>
          <w:rFonts w:ascii="Times New Roman" w:hAnsi="Times New Roman" w:cs="Times New Roman"/>
          <w:sz w:val="24"/>
          <w:szCs w:val="24"/>
        </w:rPr>
        <w:t xml:space="preserve">and includes </w:t>
      </w:r>
      <w:r w:rsidR="003578CF">
        <w:rPr>
          <w:rFonts w:ascii="Times New Roman" w:hAnsi="Times New Roman" w:cs="Times New Roman"/>
          <w:sz w:val="24"/>
          <w:szCs w:val="24"/>
        </w:rPr>
        <w:t xml:space="preserve">DOF’s </w:t>
      </w:r>
      <w:r w:rsidR="001411EC">
        <w:rPr>
          <w:rFonts w:ascii="Times New Roman" w:hAnsi="Times New Roman" w:cs="Times New Roman"/>
          <w:sz w:val="24"/>
          <w:szCs w:val="24"/>
        </w:rPr>
        <w:t>actions taken in response</w:t>
      </w:r>
      <w:r w:rsidR="003578CF">
        <w:rPr>
          <w:rFonts w:ascii="Times New Roman" w:hAnsi="Times New Roman" w:cs="Times New Roman"/>
          <w:sz w:val="24"/>
          <w:szCs w:val="24"/>
        </w:rPr>
        <w:t xml:space="preserve"> to OTA’s recommendations in the May 1, 2016 </w:t>
      </w:r>
      <w:r w:rsidR="00971EAC">
        <w:rPr>
          <w:rFonts w:ascii="Times New Roman" w:hAnsi="Times New Roman" w:cs="Times New Roman"/>
          <w:sz w:val="24"/>
          <w:szCs w:val="24"/>
        </w:rPr>
        <w:t>Annual Report.</w:t>
      </w:r>
    </w:p>
    <w:p w:rsidR="005E7001" w:rsidRPr="00FB16A0" w:rsidRDefault="005E7001" w:rsidP="005E7001">
      <w:pPr>
        <w:rPr>
          <w:rFonts w:ascii="Times New Roman" w:hAnsi="Times New Roman" w:cs="Times New Roman"/>
          <w:sz w:val="24"/>
          <w:szCs w:val="24"/>
        </w:rPr>
      </w:pPr>
      <w:r w:rsidRPr="00FB16A0">
        <w:rPr>
          <w:rFonts w:ascii="Times New Roman" w:hAnsi="Times New Roman" w:cs="Times New Roman"/>
          <w:sz w:val="24"/>
          <w:szCs w:val="24"/>
        </w:rPr>
        <w:br w:type="page"/>
      </w:r>
    </w:p>
    <w:p w:rsidR="00776F1F" w:rsidRPr="00FB16A0" w:rsidRDefault="00AA7FAE" w:rsidP="00AA7FAE">
      <w:pPr>
        <w:spacing w:after="0" w:line="240" w:lineRule="auto"/>
        <w:jc w:val="center"/>
        <w:rPr>
          <w:rFonts w:ascii="Times New Roman" w:eastAsiaTheme="minorEastAsia" w:hAnsi="Times New Roman" w:cs="Times New Roman"/>
          <w:b/>
          <w:kern w:val="24"/>
          <w:sz w:val="24"/>
          <w:szCs w:val="24"/>
        </w:rPr>
      </w:pPr>
      <w:r w:rsidRPr="00FB16A0">
        <w:rPr>
          <w:rFonts w:ascii="Times New Roman" w:hAnsi="Times New Roman" w:cs="Times New Roman"/>
          <w:b/>
          <w:sz w:val="24"/>
          <w:szCs w:val="24"/>
        </w:rPr>
        <w:lastRenderedPageBreak/>
        <w:t>Table of Contents</w:t>
      </w:r>
      <w:r w:rsidR="00585E7D">
        <w:rPr>
          <w:rFonts w:ascii="Times New Roman" w:hAnsi="Times New Roman" w:cs="Times New Roman"/>
          <w:b/>
          <w:sz w:val="24"/>
          <w:szCs w:val="24"/>
        </w:rPr>
        <w:t xml:space="preserve"> </w:t>
      </w:r>
    </w:p>
    <w:p w:rsidR="007037E5" w:rsidRPr="00FB16A0" w:rsidRDefault="007037E5" w:rsidP="00D01DF8">
      <w:pPr>
        <w:spacing w:after="0" w:line="240" w:lineRule="auto"/>
        <w:rPr>
          <w:rFonts w:ascii="Times New Roman" w:eastAsiaTheme="minorEastAsia" w:hAnsi="Times New Roman" w:cs="Times New Roman"/>
          <w:kern w:val="24"/>
          <w:sz w:val="24"/>
          <w:szCs w:val="24"/>
        </w:rPr>
      </w:pPr>
    </w:p>
    <w:p w:rsidR="00776F1F" w:rsidRPr="00FB16A0" w:rsidRDefault="00A246B8" w:rsidP="00655295">
      <w:pPr>
        <w:tabs>
          <w:tab w:val="right" w:leader="dot" w:pos="9360"/>
        </w:tabs>
        <w:spacing w:after="0" w:line="240" w:lineRule="auto"/>
        <w:ind w:right="360"/>
        <w:rPr>
          <w:rFonts w:ascii="Times New Roman" w:eastAsiaTheme="minorEastAsia" w:hAnsi="Times New Roman" w:cs="Times New Roman"/>
          <w:kern w:val="24"/>
          <w:sz w:val="24"/>
          <w:szCs w:val="24"/>
        </w:rPr>
      </w:pPr>
      <w:r w:rsidRPr="00FB16A0">
        <w:rPr>
          <w:rFonts w:ascii="Times New Roman" w:eastAsiaTheme="minorEastAsia" w:hAnsi="Times New Roman" w:cs="Times New Roman"/>
          <w:kern w:val="24"/>
          <w:sz w:val="24"/>
          <w:szCs w:val="24"/>
        </w:rPr>
        <w:t>Executive Summary</w:t>
      </w:r>
      <w:r w:rsidRPr="00FB16A0">
        <w:rPr>
          <w:rFonts w:ascii="Times New Roman" w:eastAsiaTheme="minorEastAsia" w:hAnsi="Times New Roman" w:cs="Times New Roman"/>
          <w:kern w:val="24"/>
          <w:sz w:val="24"/>
          <w:szCs w:val="24"/>
        </w:rPr>
        <w:tab/>
        <w:t>1</w:t>
      </w:r>
    </w:p>
    <w:p w:rsidR="00521504" w:rsidRDefault="00521504" w:rsidP="00655295">
      <w:pPr>
        <w:tabs>
          <w:tab w:val="left" w:pos="720"/>
          <w:tab w:val="right" w:leader="dot" w:pos="9360"/>
        </w:tabs>
        <w:spacing w:after="0" w:line="240" w:lineRule="auto"/>
        <w:ind w:right="360"/>
        <w:rPr>
          <w:rFonts w:ascii="Times New Roman" w:eastAsiaTheme="minorEastAsia" w:hAnsi="Times New Roman" w:cs="Times New Roman"/>
          <w:kern w:val="24"/>
          <w:sz w:val="24"/>
          <w:szCs w:val="24"/>
        </w:rPr>
      </w:pPr>
    </w:p>
    <w:p w:rsidR="00B37D35" w:rsidRPr="009E4F46" w:rsidRDefault="00521504" w:rsidP="00521504">
      <w:pPr>
        <w:tabs>
          <w:tab w:val="left" w:pos="720"/>
          <w:tab w:val="right" w:leader="dot" w:pos="9360"/>
        </w:tabs>
        <w:spacing w:after="0" w:line="240" w:lineRule="auto"/>
        <w:ind w:right="360"/>
        <w:rPr>
          <w:rFonts w:ascii="Times New Roman" w:eastAsiaTheme="minorEastAsia" w:hAnsi="Times New Roman" w:cs="Times New Roman"/>
          <w:b/>
          <w:kern w:val="24"/>
          <w:sz w:val="24"/>
          <w:szCs w:val="24"/>
        </w:rPr>
      </w:pPr>
      <w:r w:rsidRPr="009E4F46">
        <w:rPr>
          <w:rFonts w:ascii="Times New Roman" w:eastAsiaTheme="minorEastAsia" w:hAnsi="Times New Roman" w:cs="Times New Roman"/>
          <w:b/>
          <w:kern w:val="24"/>
          <w:sz w:val="24"/>
          <w:szCs w:val="24"/>
        </w:rPr>
        <w:t xml:space="preserve">Part I </w:t>
      </w:r>
    </w:p>
    <w:p w:rsidR="00B37D35" w:rsidRDefault="00B37D35" w:rsidP="00521504">
      <w:pPr>
        <w:tabs>
          <w:tab w:val="left" w:pos="720"/>
          <w:tab w:val="right" w:leader="dot" w:pos="9360"/>
        </w:tabs>
        <w:spacing w:after="0" w:line="240" w:lineRule="auto"/>
        <w:ind w:right="360"/>
        <w:rPr>
          <w:rFonts w:ascii="Times New Roman" w:eastAsiaTheme="minorEastAsia" w:hAnsi="Times New Roman" w:cs="Times New Roman"/>
          <w:kern w:val="24"/>
          <w:sz w:val="24"/>
          <w:szCs w:val="24"/>
        </w:rPr>
      </w:pPr>
    </w:p>
    <w:p w:rsidR="00521504" w:rsidRDefault="00521504" w:rsidP="00521504">
      <w:pPr>
        <w:tabs>
          <w:tab w:val="left" w:pos="720"/>
          <w:tab w:val="right" w:leader="dot" w:pos="9360"/>
        </w:tabs>
        <w:spacing w:after="0" w:line="240" w:lineRule="auto"/>
        <w:ind w:right="36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 xml:space="preserve">Introduction </w:t>
      </w:r>
      <w:r w:rsidRPr="00FB16A0">
        <w:rPr>
          <w:rFonts w:ascii="Times New Roman" w:eastAsiaTheme="minorEastAsia" w:hAnsi="Times New Roman" w:cs="Times New Roman"/>
          <w:kern w:val="24"/>
          <w:sz w:val="24"/>
          <w:szCs w:val="24"/>
        </w:rPr>
        <w:tab/>
        <w:t>3</w:t>
      </w:r>
      <w:r>
        <w:rPr>
          <w:rFonts w:ascii="Times New Roman" w:eastAsiaTheme="minorEastAsia" w:hAnsi="Times New Roman" w:cs="Times New Roman"/>
          <w:kern w:val="24"/>
          <w:sz w:val="24"/>
          <w:szCs w:val="24"/>
        </w:rPr>
        <w:t>-5</w:t>
      </w:r>
    </w:p>
    <w:p w:rsidR="00521504" w:rsidRDefault="00521504" w:rsidP="00521504">
      <w:pPr>
        <w:tabs>
          <w:tab w:val="left" w:pos="720"/>
          <w:tab w:val="right" w:leader="dot" w:pos="9360"/>
        </w:tabs>
        <w:spacing w:after="0" w:line="240" w:lineRule="auto"/>
        <w:ind w:right="360"/>
        <w:rPr>
          <w:rFonts w:ascii="Times New Roman" w:eastAsiaTheme="minorEastAsia" w:hAnsi="Times New Roman" w:cs="Times New Roman"/>
          <w:kern w:val="24"/>
          <w:sz w:val="24"/>
          <w:szCs w:val="24"/>
        </w:rPr>
      </w:pPr>
    </w:p>
    <w:p w:rsidR="00521504" w:rsidRDefault="00521504" w:rsidP="00521504">
      <w:pPr>
        <w:pStyle w:val="ListParagraph"/>
        <w:numPr>
          <w:ilvl w:val="0"/>
          <w:numId w:val="15"/>
        </w:numPr>
        <w:tabs>
          <w:tab w:val="left" w:pos="720"/>
          <w:tab w:val="right" w:leader="dot" w:pos="9360"/>
        </w:tabs>
        <w:spacing w:after="0" w:line="240" w:lineRule="auto"/>
        <w:ind w:right="36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Annual Report</w:t>
      </w:r>
      <w:r w:rsidR="00B10462">
        <w:rPr>
          <w:rFonts w:ascii="Times New Roman" w:eastAsiaTheme="minorEastAsia" w:hAnsi="Times New Roman" w:cs="Times New Roman"/>
          <w:kern w:val="24"/>
          <w:sz w:val="24"/>
          <w:szCs w:val="24"/>
        </w:rPr>
        <w:t xml:space="preserve"> to NYC Council</w:t>
      </w:r>
      <w:r>
        <w:rPr>
          <w:rFonts w:ascii="Times New Roman" w:eastAsiaTheme="minorEastAsia" w:hAnsi="Times New Roman" w:cs="Times New Roman"/>
          <w:kern w:val="24"/>
          <w:sz w:val="24"/>
          <w:szCs w:val="24"/>
        </w:rPr>
        <w:tab/>
        <w:t>3</w:t>
      </w:r>
    </w:p>
    <w:p w:rsidR="00521504" w:rsidRDefault="00521504" w:rsidP="00521504">
      <w:pPr>
        <w:pStyle w:val="ListParagraph"/>
        <w:tabs>
          <w:tab w:val="left" w:pos="720"/>
          <w:tab w:val="right" w:leader="dot" w:pos="9360"/>
        </w:tabs>
        <w:spacing w:after="0" w:line="240" w:lineRule="auto"/>
        <w:ind w:left="1080" w:right="360"/>
        <w:rPr>
          <w:rFonts w:ascii="Times New Roman" w:eastAsiaTheme="minorEastAsia" w:hAnsi="Times New Roman" w:cs="Times New Roman"/>
          <w:kern w:val="24"/>
          <w:sz w:val="24"/>
          <w:szCs w:val="24"/>
        </w:rPr>
      </w:pPr>
    </w:p>
    <w:p w:rsidR="00521504" w:rsidRDefault="00521504" w:rsidP="00521504">
      <w:pPr>
        <w:pStyle w:val="ListParagraph"/>
        <w:numPr>
          <w:ilvl w:val="0"/>
          <w:numId w:val="15"/>
        </w:numPr>
        <w:tabs>
          <w:tab w:val="left" w:pos="720"/>
          <w:tab w:val="right" w:leader="dot" w:pos="9360"/>
        </w:tabs>
        <w:spacing w:after="0" w:line="240" w:lineRule="auto"/>
        <w:ind w:right="36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Taxpayer Advocacy</w:t>
      </w:r>
      <w:r>
        <w:rPr>
          <w:rFonts w:ascii="Times New Roman" w:eastAsiaTheme="minorEastAsia" w:hAnsi="Times New Roman" w:cs="Times New Roman"/>
          <w:kern w:val="24"/>
          <w:sz w:val="24"/>
          <w:szCs w:val="24"/>
        </w:rPr>
        <w:tab/>
        <w:t>3</w:t>
      </w:r>
    </w:p>
    <w:p w:rsidR="00521504" w:rsidRPr="00521504" w:rsidRDefault="00521504" w:rsidP="00521504">
      <w:pPr>
        <w:pStyle w:val="ListParagraph"/>
        <w:rPr>
          <w:rFonts w:ascii="Times New Roman" w:eastAsiaTheme="minorEastAsia" w:hAnsi="Times New Roman" w:cs="Times New Roman"/>
          <w:kern w:val="24"/>
          <w:sz w:val="24"/>
          <w:szCs w:val="24"/>
        </w:rPr>
      </w:pPr>
    </w:p>
    <w:p w:rsidR="00521504" w:rsidRPr="00521504" w:rsidRDefault="00521504" w:rsidP="00521504">
      <w:pPr>
        <w:pStyle w:val="ListParagraph"/>
        <w:numPr>
          <w:ilvl w:val="0"/>
          <w:numId w:val="15"/>
        </w:numPr>
        <w:tabs>
          <w:tab w:val="left" w:pos="720"/>
          <w:tab w:val="right" w:leader="dot" w:pos="9360"/>
        </w:tabs>
        <w:spacing w:after="0" w:line="240" w:lineRule="auto"/>
        <w:ind w:right="36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Taxpayer Bill of Rights</w:t>
      </w:r>
      <w:r>
        <w:rPr>
          <w:rFonts w:ascii="Times New Roman" w:eastAsiaTheme="minorEastAsia" w:hAnsi="Times New Roman" w:cs="Times New Roman"/>
          <w:kern w:val="24"/>
          <w:sz w:val="24"/>
          <w:szCs w:val="24"/>
        </w:rPr>
        <w:tab/>
        <w:t>5</w:t>
      </w:r>
    </w:p>
    <w:p w:rsidR="00521504" w:rsidRDefault="00521504" w:rsidP="00655295">
      <w:pPr>
        <w:tabs>
          <w:tab w:val="left" w:pos="720"/>
          <w:tab w:val="right" w:leader="dot" w:pos="9360"/>
        </w:tabs>
        <w:spacing w:after="0" w:line="240" w:lineRule="auto"/>
        <w:ind w:right="360"/>
        <w:rPr>
          <w:rFonts w:ascii="Times New Roman" w:eastAsiaTheme="minorEastAsia" w:hAnsi="Times New Roman" w:cs="Times New Roman"/>
          <w:kern w:val="24"/>
          <w:sz w:val="24"/>
          <w:szCs w:val="24"/>
        </w:rPr>
      </w:pPr>
    </w:p>
    <w:p w:rsidR="00B37D35" w:rsidRDefault="00A246B8" w:rsidP="00655295">
      <w:pPr>
        <w:tabs>
          <w:tab w:val="left" w:pos="720"/>
          <w:tab w:val="right" w:leader="dot" w:pos="9360"/>
        </w:tabs>
        <w:spacing w:after="0" w:line="240" w:lineRule="auto"/>
        <w:ind w:right="360"/>
        <w:rPr>
          <w:rFonts w:ascii="Times New Roman" w:eastAsiaTheme="minorEastAsia" w:hAnsi="Times New Roman" w:cs="Times New Roman"/>
          <w:kern w:val="24"/>
          <w:sz w:val="24"/>
          <w:szCs w:val="24"/>
        </w:rPr>
      </w:pPr>
      <w:r w:rsidRPr="009E4F46">
        <w:rPr>
          <w:rFonts w:ascii="Times New Roman" w:eastAsiaTheme="minorEastAsia" w:hAnsi="Times New Roman" w:cs="Times New Roman"/>
          <w:b/>
          <w:kern w:val="24"/>
          <w:sz w:val="24"/>
          <w:szCs w:val="24"/>
        </w:rPr>
        <w:t xml:space="preserve">Part </w:t>
      </w:r>
      <w:r w:rsidR="00521504" w:rsidRPr="009E4F46">
        <w:rPr>
          <w:rFonts w:ascii="Times New Roman" w:eastAsiaTheme="minorEastAsia" w:hAnsi="Times New Roman" w:cs="Times New Roman"/>
          <w:b/>
          <w:kern w:val="24"/>
          <w:sz w:val="24"/>
          <w:szCs w:val="24"/>
        </w:rPr>
        <w:t>I</w:t>
      </w:r>
      <w:r w:rsidRPr="009E4F46">
        <w:rPr>
          <w:rFonts w:ascii="Times New Roman" w:eastAsiaTheme="minorEastAsia" w:hAnsi="Times New Roman" w:cs="Times New Roman"/>
          <w:b/>
          <w:kern w:val="24"/>
          <w:sz w:val="24"/>
          <w:szCs w:val="24"/>
        </w:rPr>
        <w:t>I</w:t>
      </w:r>
      <w:r w:rsidRPr="00FB16A0">
        <w:rPr>
          <w:rFonts w:ascii="Times New Roman" w:eastAsiaTheme="minorEastAsia" w:hAnsi="Times New Roman" w:cs="Times New Roman"/>
          <w:kern w:val="24"/>
          <w:sz w:val="24"/>
          <w:szCs w:val="24"/>
        </w:rPr>
        <w:t xml:space="preserve"> </w:t>
      </w:r>
    </w:p>
    <w:p w:rsidR="00B37D35" w:rsidRDefault="00B37D35" w:rsidP="00655295">
      <w:pPr>
        <w:tabs>
          <w:tab w:val="left" w:pos="720"/>
          <w:tab w:val="right" w:leader="dot" w:pos="9360"/>
        </w:tabs>
        <w:spacing w:after="0" w:line="240" w:lineRule="auto"/>
        <w:ind w:right="360"/>
        <w:rPr>
          <w:rFonts w:ascii="Times New Roman" w:eastAsiaTheme="minorEastAsia" w:hAnsi="Times New Roman" w:cs="Times New Roman"/>
          <w:kern w:val="24"/>
          <w:sz w:val="24"/>
          <w:szCs w:val="24"/>
        </w:rPr>
      </w:pPr>
    </w:p>
    <w:p w:rsidR="00A246B8" w:rsidRPr="00FB16A0" w:rsidRDefault="00EA2C83" w:rsidP="00655295">
      <w:pPr>
        <w:tabs>
          <w:tab w:val="left" w:pos="720"/>
          <w:tab w:val="right" w:leader="dot" w:pos="9360"/>
        </w:tabs>
        <w:spacing w:after="0" w:line="240" w:lineRule="auto"/>
        <w:ind w:right="360"/>
        <w:rPr>
          <w:rFonts w:ascii="Times New Roman" w:eastAsiaTheme="minorEastAsia" w:hAnsi="Times New Roman" w:cs="Times New Roman"/>
          <w:kern w:val="24"/>
          <w:sz w:val="24"/>
          <w:szCs w:val="24"/>
        </w:rPr>
      </w:pPr>
      <w:r w:rsidRPr="00FB16A0">
        <w:rPr>
          <w:rFonts w:ascii="Times New Roman" w:eastAsiaTheme="minorEastAsia" w:hAnsi="Times New Roman" w:cs="Times New Roman"/>
          <w:kern w:val="24"/>
          <w:sz w:val="24"/>
          <w:szCs w:val="24"/>
        </w:rPr>
        <w:t xml:space="preserve">DOF </w:t>
      </w:r>
      <w:r w:rsidR="006958E7">
        <w:rPr>
          <w:rFonts w:ascii="Times New Roman" w:eastAsiaTheme="minorEastAsia" w:hAnsi="Times New Roman" w:cs="Times New Roman"/>
          <w:kern w:val="24"/>
          <w:sz w:val="24"/>
          <w:szCs w:val="24"/>
        </w:rPr>
        <w:t>Actions</w:t>
      </w:r>
      <w:r w:rsidRPr="00FB16A0">
        <w:rPr>
          <w:rFonts w:ascii="Times New Roman" w:eastAsiaTheme="minorEastAsia" w:hAnsi="Times New Roman" w:cs="Times New Roman"/>
          <w:kern w:val="24"/>
          <w:sz w:val="24"/>
          <w:szCs w:val="24"/>
        </w:rPr>
        <w:t xml:space="preserve"> to 2016</w:t>
      </w:r>
      <w:r w:rsidR="00D82B1C" w:rsidRPr="00FB16A0">
        <w:rPr>
          <w:rFonts w:ascii="Times New Roman" w:eastAsiaTheme="minorEastAsia" w:hAnsi="Times New Roman" w:cs="Times New Roman"/>
          <w:kern w:val="24"/>
          <w:sz w:val="24"/>
          <w:szCs w:val="24"/>
        </w:rPr>
        <w:t xml:space="preserve"> OTA Recommendations</w:t>
      </w:r>
      <w:r w:rsidR="00A246B8" w:rsidRPr="00FB16A0">
        <w:rPr>
          <w:rFonts w:ascii="Times New Roman" w:eastAsiaTheme="minorEastAsia" w:hAnsi="Times New Roman" w:cs="Times New Roman"/>
          <w:kern w:val="24"/>
          <w:sz w:val="24"/>
          <w:szCs w:val="24"/>
        </w:rPr>
        <w:tab/>
      </w:r>
      <w:r w:rsidR="00521504">
        <w:rPr>
          <w:rFonts w:ascii="Times New Roman" w:eastAsiaTheme="minorEastAsia" w:hAnsi="Times New Roman" w:cs="Times New Roman"/>
          <w:kern w:val="24"/>
          <w:sz w:val="24"/>
          <w:szCs w:val="24"/>
        </w:rPr>
        <w:t>5-1</w:t>
      </w:r>
      <w:r w:rsidR="00E33859">
        <w:rPr>
          <w:rFonts w:ascii="Times New Roman" w:eastAsiaTheme="minorEastAsia" w:hAnsi="Times New Roman" w:cs="Times New Roman"/>
          <w:kern w:val="24"/>
          <w:sz w:val="24"/>
          <w:szCs w:val="24"/>
        </w:rPr>
        <w:t>1</w:t>
      </w:r>
    </w:p>
    <w:p w:rsidR="00F01006" w:rsidRPr="00FB16A0" w:rsidRDefault="00F01006" w:rsidP="00655295">
      <w:pPr>
        <w:tabs>
          <w:tab w:val="left" w:pos="720"/>
          <w:tab w:val="right" w:leader="dot" w:pos="9360"/>
        </w:tabs>
        <w:spacing w:after="0" w:line="240" w:lineRule="auto"/>
        <w:ind w:right="360"/>
        <w:rPr>
          <w:rFonts w:ascii="Times New Roman" w:eastAsiaTheme="minorEastAsia" w:hAnsi="Times New Roman" w:cs="Times New Roman"/>
          <w:kern w:val="24"/>
          <w:sz w:val="24"/>
          <w:szCs w:val="24"/>
        </w:rPr>
      </w:pPr>
    </w:p>
    <w:p w:rsidR="00B37D35" w:rsidRDefault="00B66B55" w:rsidP="00655295">
      <w:pPr>
        <w:tabs>
          <w:tab w:val="left" w:pos="720"/>
          <w:tab w:val="left" w:pos="1440"/>
          <w:tab w:val="right" w:leader="dot" w:pos="9360"/>
        </w:tabs>
        <w:spacing w:after="0" w:line="240" w:lineRule="auto"/>
        <w:ind w:right="360"/>
        <w:rPr>
          <w:rFonts w:ascii="Times New Roman" w:eastAsiaTheme="minorEastAsia" w:hAnsi="Times New Roman" w:cs="Times New Roman"/>
          <w:b/>
          <w:kern w:val="24"/>
          <w:sz w:val="24"/>
          <w:szCs w:val="24"/>
        </w:rPr>
      </w:pPr>
      <w:r w:rsidRPr="009E4F46">
        <w:rPr>
          <w:rFonts w:ascii="Times New Roman" w:eastAsiaTheme="minorEastAsia" w:hAnsi="Times New Roman" w:cs="Times New Roman"/>
          <w:b/>
          <w:kern w:val="24"/>
          <w:sz w:val="24"/>
          <w:szCs w:val="24"/>
        </w:rPr>
        <w:t>Part II</w:t>
      </w:r>
      <w:r w:rsidR="00521504" w:rsidRPr="009E4F46">
        <w:rPr>
          <w:rFonts w:ascii="Times New Roman" w:eastAsiaTheme="minorEastAsia" w:hAnsi="Times New Roman" w:cs="Times New Roman"/>
          <w:b/>
          <w:kern w:val="24"/>
          <w:sz w:val="24"/>
          <w:szCs w:val="24"/>
        </w:rPr>
        <w:t>I</w:t>
      </w:r>
    </w:p>
    <w:p w:rsidR="00B37D35" w:rsidRDefault="00B37D35" w:rsidP="00655295">
      <w:pPr>
        <w:tabs>
          <w:tab w:val="left" w:pos="720"/>
          <w:tab w:val="left" w:pos="1440"/>
          <w:tab w:val="right" w:leader="dot" w:pos="9360"/>
        </w:tabs>
        <w:spacing w:after="0" w:line="240" w:lineRule="auto"/>
        <w:ind w:right="360"/>
        <w:rPr>
          <w:rFonts w:ascii="Times New Roman" w:eastAsiaTheme="minorEastAsia" w:hAnsi="Times New Roman" w:cs="Times New Roman"/>
          <w:b/>
          <w:kern w:val="24"/>
          <w:sz w:val="24"/>
          <w:szCs w:val="24"/>
        </w:rPr>
      </w:pPr>
    </w:p>
    <w:p w:rsidR="00B66B55" w:rsidRPr="00FB16A0" w:rsidRDefault="00644844" w:rsidP="00655295">
      <w:pPr>
        <w:tabs>
          <w:tab w:val="left" w:pos="720"/>
          <w:tab w:val="left" w:pos="1440"/>
          <w:tab w:val="right" w:leader="dot" w:pos="9360"/>
        </w:tabs>
        <w:spacing w:after="0" w:line="240" w:lineRule="auto"/>
        <w:ind w:right="36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OTA Statistics for the Reporting Period April 1, 2016 and March 31, 2017</w:t>
      </w:r>
      <w:r w:rsidR="00B66B55" w:rsidRPr="00FB16A0">
        <w:rPr>
          <w:rFonts w:ascii="Times New Roman" w:eastAsiaTheme="minorEastAsia" w:hAnsi="Times New Roman" w:cs="Times New Roman"/>
          <w:kern w:val="24"/>
          <w:sz w:val="24"/>
          <w:szCs w:val="24"/>
        </w:rPr>
        <w:tab/>
      </w:r>
      <w:r w:rsidR="00521504">
        <w:rPr>
          <w:rFonts w:ascii="Times New Roman" w:eastAsiaTheme="minorEastAsia" w:hAnsi="Times New Roman" w:cs="Times New Roman"/>
          <w:kern w:val="24"/>
          <w:sz w:val="24"/>
          <w:szCs w:val="24"/>
        </w:rPr>
        <w:t>1</w:t>
      </w:r>
      <w:r w:rsidR="00DD7111">
        <w:rPr>
          <w:rFonts w:ascii="Times New Roman" w:eastAsiaTheme="minorEastAsia" w:hAnsi="Times New Roman" w:cs="Times New Roman"/>
          <w:kern w:val="24"/>
          <w:sz w:val="24"/>
          <w:szCs w:val="24"/>
        </w:rPr>
        <w:t>2</w:t>
      </w:r>
      <w:r w:rsidR="002D047C" w:rsidRPr="00FB16A0">
        <w:rPr>
          <w:rFonts w:ascii="Times New Roman" w:eastAsiaTheme="minorEastAsia" w:hAnsi="Times New Roman" w:cs="Times New Roman"/>
          <w:kern w:val="24"/>
          <w:sz w:val="24"/>
          <w:szCs w:val="24"/>
        </w:rPr>
        <w:t>-</w:t>
      </w:r>
      <w:r w:rsidR="00521504">
        <w:rPr>
          <w:rFonts w:ascii="Times New Roman" w:eastAsiaTheme="minorEastAsia" w:hAnsi="Times New Roman" w:cs="Times New Roman"/>
          <w:kern w:val="24"/>
          <w:sz w:val="24"/>
          <w:szCs w:val="24"/>
        </w:rPr>
        <w:t>2</w:t>
      </w:r>
      <w:r w:rsidR="00DD7111">
        <w:rPr>
          <w:rFonts w:ascii="Times New Roman" w:eastAsiaTheme="minorEastAsia" w:hAnsi="Times New Roman" w:cs="Times New Roman"/>
          <w:kern w:val="24"/>
          <w:sz w:val="24"/>
          <w:szCs w:val="24"/>
        </w:rPr>
        <w:t>2</w:t>
      </w:r>
    </w:p>
    <w:p w:rsidR="00521504" w:rsidRDefault="00521504" w:rsidP="00521504">
      <w:pPr>
        <w:pStyle w:val="ListParagraph"/>
        <w:tabs>
          <w:tab w:val="left" w:pos="720"/>
          <w:tab w:val="left" w:pos="1440"/>
          <w:tab w:val="right" w:leader="dot" w:pos="9360"/>
        </w:tabs>
        <w:spacing w:after="0" w:line="240" w:lineRule="auto"/>
        <w:ind w:left="1080" w:right="360"/>
        <w:rPr>
          <w:rFonts w:ascii="Times New Roman" w:eastAsiaTheme="minorEastAsia" w:hAnsi="Times New Roman" w:cs="Times New Roman"/>
          <w:kern w:val="24"/>
          <w:sz w:val="24"/>
          <w:szCs w:val="24"/>
        </w:rPr>
      </w:pPr>
    </w:p>
    <w:p w:rsidR="00521504" w:rsidRDefault="00521504" w:rsidP="00521504">
      <w:pPr>
        <w:pStyle w:val="ListParagraph"/>
        <w:numPr>
          <w:ilvl w:val="0"/>
          <w:numId w:val="2"/>
        </w:numPr>
        <w:tabs>
          <w:tab w:val="left" w:pos="720"/>
          <w:tab w:val="left" w:pos="1440"/>
          <w:tab w:val="right" w:leader="dot" w:pos="9360"/>
        </w:tabs>
        <w:spacing w:after="0" w:line="240" w:lineRule="auto"/>
        <w:ind w:right="36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 xml:space="preserve">Total </w:t>
      </w:r>
      <w:r w:rsidR="00B37D35">
        <w:rPr>
          <w:rFonts w:ascii="Times New Roman" w:eastAsiaTheme="minorEastAsia" w:hAnsi="Times New Roman" w:cs="Times New Roman"/>
          <w:kern w:val="24"/>
          <w:sz w:val="24"/>
          <w:szCs w:val="24"/>
        </w:rPr>
        <w:t xml:space="preserve">Inventory of Inquiries and </w:t>
      </w:r>
      <w:r>
        <w:rPr>
          <w:rFonts w:ascii="Times New Roman" w:eastAsiaTheme="minorEastAsia" w:hAnsi="Times New Roman" w:cs="Times New Roman"/>
          <w:kern w:val="24"/>
          <w:sz w:val="24"/>
          <w:szCs w:val="24"/>
        </w:rPr>
        <w:t>Cases</w:t>
      </w:r>
      <w:r w:rsidR="00B37D35">
        <w:rPr>
          <w:rFonts w:ascii="Times New Roman" w:eastAsiaTheme="minorEastAsia" w:hAnsi="Times New Roman" w:cs="Times New Roman"/>
          <w:kern w:val="24"/>
          <w:sz w:val="24"/>
          <w:szCs w:val="24"/>
        </w:rPr>
        <w:t xml:space="preserve"> </w:t>
      </w:r>
      <w:r>
        <w:rPr>
          <w:rFonts w:ascii="Times New Roman" w:eastAsiaTheme="minorEastAsia" w:hAnsi="Times New Roman" w:cs="Times New Roman"/>
          <w:kern w:val="24"/>
          <w:sz w:val="24"/>
          <w:szCs w:val="24"/>
        </w:rPr>
        <w:tab/>
        <w:t>1</w:t>
      </w:r>
      <w:r w:rsidR="00DD7111">
        <w:rPr>
          <w:rFonts w:ascii="Times New Roman" w:eastAsiaTheme="minorEastAsia" w:hAnsi="Times New Roman" w:cs="Times New Roman"/>
          <w:kern w:val="24"/>
          <w:sz w:val="24"/>
          <w:szCs w:val="24"/>
        </w:rPr>
        <w:t>2</w:t>
      </w:r>
    </w:p>
    <w:p w:rsidR="00521504" w:rsidRDefault="00B37D35" w:rsidP="00521504">
      <w:pPr>
        <w:pStyle w:val="ListParagraph"/>
        <w:numPr>
          <w:ilvl w:val="0"/>
          <w:numId w:val="2"/>
        </w:numPr>
        <w:tabs>
          <w:tab w:val="left" w:pos="720"/>
          <w:tab w:val="left" w:pos="1440"/>
          <w:tab w:val="right" w:leader="dot" w:pos="9360"/>
        </w:tabs>
        <w:spacing w:after="0" w:line="240" w:lineRule="auto"/>
        <w:ind w:right="36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 xml:space="preserve">Total Inventory by </w:t>
      </w:r>
      <w:r w:rsidR="00682619">
        <w:rPr>
          <w:rFonts w:ascii="Times New Roman" w:eastAsiaTheme="minorEastAsia" w:hAnsi="Times New Roman" w:cs="Times New Roman"/>
          <w:kern w:val="24"/>
          <w:sz w:val="24"/>
          <w:szCs w:val="24"/>
        </w:rPr>
        <w:t xml:space="preserve">Subject Matter </w:t>
      </w:r>
      <w:r w:rsidR="00B66B55" w:rsidRPr="00521504">
        <w:rPr>
          <w:rFonts w:ascii="Times New Roman" w:eastAsiaTheme="minorEastAsia" w:hAnsi="Times New Roman" w:cs="Times New Roman"/>
          <w:kern w:val="24"/>
          <w:sz w:val="24"/>
          <w:szCs w:val="24"/>
        </w:rPr>
        <w:tab/>
      </w:r>
      <w:r w:rsidR="00521504">
        <w:rPr>
          <w:rFonts w:ascii="Times New Roman" w:eastAsiaTheme="minorEastAsia" w:hAnsi="Times New Roman" w:cs="Times New Roman"/>
          <w:kern w:val="24"/>
          <w:sz w:val="24"/>
          <w:szCs w:val="24"/>
        </w:rPr>
        <w:t>1</w:t>
      </w:r>
      <w:r w:rsidR="00DD7111">
        <w:rPr>
          <w:rFonts w:ascii="Times New Roman" w:eastAsiaTheme="minorEastAsia" w:hAnsi="Times New Roman" w:cs="Times New Roman"/>
          <w:kern w:val="24"/>
          <w:sz w:val="24"/>
          <w:szCs w:val="24"/>
        </w:rPr>
        <w:t>2</w:t>
      </w:r>
    </w:p>
    <w:p w:rsidR="00521504" w:rsidRDefault="00BC514C" w:rsidP="00521504">
      <w:pPr>
        <w:pStyle w:val="ListParagraph"/>
        <w:numPr>
          <w:ilvl w:val="0"/>
          <w:numId w:val="2"/>
        </w:numPr>
        <w:tabs>
          <w:tab w:val="left" w:pos="720"/>
          <w:tab w:val="left" w:pos="1440"/>
          <w:tab w:val="right" w:leader="dot" w:pos="9360"/>
        </w:tabs>
        <w:spacing w:after="0" w:line="240" w:lineRule="auto"/>
        <w:ind w:right="36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Source of Total Work</w:t>
      </w:r>
      <w:r w:rsidR="00682619">
        <w:rPr>
          <w:rFonts w:ascii="Times New Roman" w:eastAsiaTheme="minorEastAsia" w:hAnsi="Times New Roman" w:cs="Times New Roman"/>
          <w:kern w:val="24"/>
          <w:sz w:val="24"/>
          <w:szCs w:val="24"/>
        </w:rPr>
        <w:t xml:space="preserve"> by </w:t>
      </w:r>
      <w:r w:rsidR="00B66B55" w:rsidRPr="00521504">
        <w:rPr>
          <w:rFonts w:ascii="Times New Roman" w:eastAsiaTheme="minorEastAsia" w:hAnsi="Times New Roman" w:cs="Times New Roman"/>
          <w:kern w:val="24"/>
          <w:sz w:val="24"/>
          <w:szCs w:val="24"/>
        </w:rPr>
        <w:t>Borough</w:t>
      </w:r>
      <w:r w:rsidR="00B66B55" w:rsidRPr="00521504">
        <w:rPr>
          <w:rFonts w:ascii="Times New Roman" w:eastAsiaTheme="minorEastAsia" w:hAnsi="Times New Roman" w:cs="Times New Roman"/>
          <w:kern w:val="24"/>
          <w:sz w:val="24"/>
          <w:szCs w:val="24"/>
        </w:rPr>
        <w:tab/>
      </w:r>
      <w:r w:rsidR="002E51DF">
        <w:rPr>
          <w:rFonts w:ascii="Times New Roman" w:eastAsiaTheme="minorEastAsia" w:hAnsi="Times New Roman" w:cs="Times New Roman"/>
          <w:kern w:val="24"/>
          <w:sz w:val="24"/>
          <w:szCs w:val="24"/>
        </w:rPr>
        <w:t>1</w:t>
      </w:r>
      <w:r w:rsidR="00DD7111">
        <w:rPr>
          <w:rFonts w:ascii="Times New Roman" w:eastAsiaTheme="minorEastAsia" w:hAnsi="Times New Roman" w:cs="Times New Roman"/>
          <w:kern w:val="24"/>
          <w:sz w:val="24"/>
          <w:szCs w:val="24"/>
        </w:rPr>
        <w:t>4</w:t>
      </w:r>
    </w:p>
    <w:p w:rsidR="00283937" w:rsidRDefault="00283937" w:rsidP="00521504">
      <w:pPr>
        <w:pStyle w:val="ListParagraph"/>
        <w:numPr>
          <w:ilvl w:val="0"/>
          <w:numId w:val="2"/>
        </w:numPr>
        <w:tabs>
          <w:tab w:val="left" w:pos="720"/>
          <w:tab w:val="left" w:pos="1440"/>
          <w:tab w:val="right" w:leader="dot" w:pos="9360"/>
        </w:tabs>
        <w:spacing w:after="0" w:line="240" w:lineRule="auto"/>
        <w:ind w:right="36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Breakdown of Identified Recurring Issues in Cases</w:t>
      </w:r>
      <w:r>
        <w:rPr>
          <w:rFonts w:ascii="Times New Roman" w:eastAsiaTheme="minorEastAsia" w:hAnsi="Times New Roman" w:cs="Times New Roman"/>
          <w:kern w:val="24"/>
          <w:sz w:val="24"/>
          <w:szCs w:val="24"/>
        </w:rPr>
        <w:tab/>
      </w:r>
      <w:r w:rsidR="002E51DF">
        <w:rPr>
          <w:rFonts w:ascii="Times New Roman" w:eastAsiaTheme="minorEastAsia" w:hAnsi="Times New Roman" w:cs="Times New Roman"/>
          <w:kern w:val="24"/>
          <w:sz w:val="24"/>
          <w:szCs w:val="24"/>
        </w:rPr>
        <w:t>1</w:t>
      </w:r>
      <w:r w:rsidR="00DD7111">
        <w:rPr>
          <w:rFonts w:ascii="Times New Roman" w:eastAsiaTheme="minorEastAsia" w:hAnsi="Times New Roman" w:cs="Times New Roman"/>
          <w:kern w:val="24"/>
          <w:sz w:val="24"/>
          <w:szCs w:val="24"/>
        </w:rPr>
        <w:t>5</w:t>
      </w:r>
    </w:p>
    <w:p w:rsidR="00283937" w:rsidRDefault="00B66B55" w:rsidP="00283937">
      <w:pPr>
        <w:pStyle w:val="ListParagraph"/>
        <w:numPr>
          <w:ilvl w:val="0"/>
          <w:numId w:val="2"/>
        </w:numPr>
        <w:tabs>
          <w:tab w:val="left" w:pos="720"/>
          <w:tab w:val="left" w:pos="1440"/>
          <w:tab w:val="right" w:leader="dot" w:pos="9360"/>
        </w:tabs>
        <w:spacing w:after="0" w:line="240" w:lineRule="auto"/>
        <w:ind w:right="360"/>
        <w:rPr>
          <w:rFonts w:ascii="Times New Roman" w:eastAsiaTheme="minorEastAsia" w:hAnsi="Times New Roman" w:cs="Times New Roman"/>
          <w:kern w:val="24"/>
          <w:sz w:val="24"/>
          <w:szCs w:val="24"/>
        </w:rPr>
      </w:pPr>
      <w:r w:rsidRPr="00521504">
        <w:rPr>
          <w:rFonts w:ascii="Times New Roman" w:eastAsiaTheme="minorEastAsia" w:hAnsi="Times New Roman" w:cs="Times New Roman"/>
          <w:kern w:val="24"/>
          <w:sz w:val="24"/>
          <w:szCs w:val="24"/>
        </w:rPr>
        <w:t>Property Tax Inquiries and Cases by Subcategories</w:t>
      </w:r>
      <w:r w:rsidRPr="00521504">
        <w:rPr>
          <w:rFonts w:ascii="Times New Roman" w:eastAsiaTheme="minorEastAsia" w:hAnsi="Times New Roman" w:cs="Times New Roman"/>
          <w:kern w:val="24"/>
          <w:sz w:val="24"/>
          <w:szCs w:val="24"/>
        </w:rPr>
        <w:tab/>
      </w:r>
      <w:r w:rsidR="00283937">
        <w:rPr>
          <w:rFonts w:ascii="Times New Roman" w:eastAsiaTheme="minorEastAsia" w:hAnsi="Times New Roman" w:cs="Times New Roman"/>
          <w:kern w:val="24"/>
          <w:sz w:val="24"/>
          <w:szCs w:val="24"/>
        </w:rPr>
        <w:t>1</w:t>
      </w:r>
      <w:r w:rsidR="00DD7111">
        <w:rPr>
          <w:rFonts w:ascii="Times New Roman" w:eastAsiaTheme="minorEastAsia" w:hAnsi="Times New Roman" w:cs="Times New Roman"/>
          <w:kern w:val="24"/>
          <w:sz w:val="24"/>
          <w:szCs w:val="24"/>
        </w:rPr>
        <w:t>7</w:t>
      </w:r>
    </w:p>
    <w:p w:rsidR="00B66B55" w:rsidRDefault="00B66B55" w:rsidP="00283937">
      <w:pPr>
        <w:pStyle w:val="ListParagraph"/>
        <w:numPr>
          <w:ilvl w:val="0"/>
          <w:numId w:val="2"/>
        </w:numPr>
        <w:tabs>
          <w:tab w:val="left" w:pos="720"/>
          <w:tab w:val="left" w:pos="1440"/>
          <w:tab w:val="right" w:leader="dot" w:pos="9360"/>
        </w:tabs>
        <w:spacing w:after="0" w:line="240" w:lineRule="auto"/>
        <w:ind w:right="360"/>
        <w:rPr>
          <w:rFonts w:ascii="Times New Roman" w:eastAsiaTheme="minorEastAsia" w:hAnsi="Times New Roman" w:cs="Times New Roman"/>
          <w:kern w:val="24"/>
          <w:sz w:val="24"/>
          <w:szCs w:val="24"/>
        </w:rPr>
      </w:pPr>
      <w:r w:rsidRPr="00283937">
        <w:rPr>
          <w:rFonts w:ascii="Times New Roman" w:eastAsiaTheme="minorEastAsia" w:hAnsi="Times New Roman" w:cs="Times New Roman"/>
          <w:kern w:val="24"/>
          <w:sz w:val="24"/>
          <w:szCs w:val="24"/>
        </w:rPr>
        <w:t>Property Tax Inquiries and Cases by Borough</w:t>
      </w:r>
      <w:r w:rsidRPr="00283937">
        <w:rPr>
          <w:rFonts w:ascii="Times New Roman" w:eastAsiaTheme="minorEastAsia" w:hAnsi="Times New Roman" w:cs="Times New Roman"/>
          <w:kern w:val="24"/>
          <w:sz w:val="24"/>
          <w:szCs w:val="24"/>
        </w:rPr>
        <w:tab/>
      </w:r>
      <w:r w:rsidR="00983C2B" w:rsidRPr="00283937">
        <w:rPr>
          <w:rFonts w:ascii="Times New Roman" w:eastAsiaTheme="minorEastAsia" w:hAnsi="Times New Roman" w:cs="Times New Roman"/>
          <w:kern w:val="24"/>
          <w:sz w:val="24"/>
          <w:szCs w:val="24"/>
        </w:rPr>
        <w:t>1</w:t>
      </w:r>
      <w:r w:rsidR="00DD7111">
        <w:rPr>
          <w:rFonts w:ascii="Times New Roman" w:eastAsiaTheme="minorEastAsia" w:hAnsi="Times New Roman" w:cs="Times New Roman"/>
          <w:kern w:val="24"/>
          <w:sz w:val="24"/>
          <w:szCs w:val="24"/>
        </w:rPr>
        <w:t>8</w:t>
      </w:r>
    </w:p>
    <w:p w:rsidR="00283937" w:rsidRDefault="00283937" w:rsidP="00283937">
      <w:pPr>
        <w:pStyle w:val="ListParagraph"/>
        <w:numPr>
          <w:ilvl w:val="0"/>
          <w:numId w:val="2"/>
        </w:numPr>
        <w:tabs>
          <w:tab w:val="left" w:pos="720"/>
          <w:tab w:val="left" w:pos="1440"/>
          <w:tab w:val="right" w:leader="dot" w:pos="9360"/>
        </w:tabs>
        <w:spacing w:after="0" w:line="240" w:lineRule="auto"/>
        <w:ind w:right="36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Property Tax Cases by City Council District</w:t>
      </w:r>
      <w:r>
        <w:rPr>
          <w:rFonts w:ascii="Times New Roman" w:eastAsiaTheme="minorEastAsia" w:hAnsi="Times New Roman" w:cs="Times New Roman"/>
          <w:kern w:val="24"/>
          <w:sz w:val="24"/>
          <w:szCs w:val="24"/>
        </w:rPr>
        <w:tab/>
      </w:r>
      <w:r w:rsidR="00DD7111">
        <w:rPr>
          <w:rFonts w:ascii="Times New Roman" w:eastAsiaTheme="minorEastAsia" w:hAnsi="Times New Roman" w:cs="Times New Roman"/>
          <w:kern w:val="24"/>
          <w:sz w:val="24"/>
          <w:szCs w:val="24"/>
        </w:rPr>
        <w:t>19</w:t>
      </w:r>
    </w:p>
    <w:p w:rsidR="00283937" w:rsidRDefault="00B66B55" w:rsidP="00283937">
      <w:pPr>
        <w:pStyle w:val="ListParagraph"/>
        <w:numPr>
          <w:ilvl w:val="0"/>
          <w:numId w:val="2"/>
        </w:numPr>
        <w:tabs>
          <w:tab w:val="left" w:pos="720"/>
          <w:tab w:val="left" w:pos="1440"/>
          <w:tab w:val="right" w:leader="dot" w:pos="9360"/>
        </w:tabs>
        <w:spacing w:after="0" w:line="240" w:lineRule="auto"/>
        <w:ind w:right="360"/>
        <w:rPr>
          <w:rFonts w:ascii="Times New Roman" w:eastAsiaTheme="minorEastAsia" w:hAnsi="Times New Roman" w:cs="Times New Roman"/>
          <w:kern w:val="24"/>
          <w:sz w:val="24"/>
          <w:szCs w:val="24"/>
        </w:rPr>
      </w:pPr>
      <w:r w:rsidRPr="00283937">
        <w:rPr>
          <w:rFonts w:ascii="Times New Roman" w:eastAsiaTheme="minorEastAsia" w:hAnsi="Times New Roman" w:cs="Times New Roman"/>
          <w:kern w:val="24"/>
          <w:sz w:val="24"/>
          <w:szCs w:val="24"/>
        </w:rPr>
        <w:t>Business and Excise Tax Inquiries and Cases by Subcategories</w:t>
      </w:r>
      <w:r w:rsidRPr="00283937">
        <w:rPr>
          <w:rFonts w:ascii="Times New Roman" w:eastAsiaTheme="minorEastAsia" w:hAnsi="Times New Roman" w:cs="Times New Roman"/>
          <w:kern w:val="24"/>
          <w:sz w:val="24"/>
          <w:szCs w:val="24"/>
        </w:rPr>
        <w:tab/>
      </w:r>
      <w:r w:rsidR="00DD7111">
        <w:rPr>
          <w:rFonts w:ascii="Times New Roman" w:eastAsiaTheme="minorEastAsia" w:hAnsi="Times New Roman" w:cs="Times New Roman"/>
          <w:kern w:val="24"/>
          <w:sz w:val="24"/>
          <w:szCs w:val="24"/>
        </w:rPr>
        <w:t>20</w:t>
      </w:r>
    </w:p>
    <w:p w:rsidR="009A6E18" w:rsidRDefault="009A6E18" w:rsidP="00283937">
      <w:pPr>
        <w:pStyle w:val="ListParagraph"/>
        <w:numPr>
          <w:ilvl w:val="0"/>
          <w:numId w:val="2"/>
        </w:numPr>
        <w:tabs>
          <w:tab w:val="left" w:pos="720"/>
          <w:tab w:val="left" w:pos="1440"/>
          <w:tab w:val="right" w:leader="dot" w:pos="9360"/>
        </w:tabs>
        <w:spacing w:after="0" w:line="240" w:lineRule="auto"/>
        <w:ind w:right="360"/>
        <w:rPr>
          <w:rFonts w:ascii="Times New Roman" w:eastAsiaTheme="minorEastAsia" w:hAnsi="Times New Roman" w:cs="Times New Roman"/>
          <w:kern w:val="24"/>
          <w:sz w:val="24"/>
          <w:szCs w:val="24"/>
        </w:rPr>
      </w:pPr>
      <w:r w:rsidRPr="00283937">
        <w:rPr>
          <w:rFonts w:ascii="Times New Roman" w:eastAsiaTheme="minorEastAsia" w:hAnsi="Times New Roman" w:cs="Times New Roman"/>
          <w:kern w:val="24"/>
          <w:sz w:val="24"/>
          <w:szCs w:val="24"/>
        </w:rPr>
        <w:t>Business and Excise Tax Cases by Borough</w:t>
      </w:r>
      <w:r w:rsidRPr="00283937">
        <w:rPr>
          <w:rFonts w:ascii="Times New Roman" w:eastAsiaTheme="minorEastAsia" w:hAnsi="Times New Roman" w:cs="Times New Roman"/>
          <w:kern w:val="24"/>
          <w:sz w:val="24"/>
          <w:szCs w:val="24"/>
        </w:rPr>
        <w:tab/>
      </w:r>
      <w:r w:rsidR="002E51DF">
        <w:rPr>
          <w:rFonts w:ascii="Times New Roman" w:eastAsiaTheme="minorEastAsia" w:hAnsi="Times New Roman" w:cs="Times New Roman"/>
          <w:kern w:val="24"/>
          <w:sz w:val="24"/>
          <w:szCs w:val="24"/>
        </w:rPr>
        <w:t>2</w:t>
      </w:r>
      <w:r w:rsidR="00DD7111">
        <w:rPr>
          <w:rFonts w:ascii="Times New Roman" w:eastAsiaTheme="minorEastAsia" w:hAnsi="Times New Roman" w:cs="Times New Roman"/>
          <w:kern w:val="24"/>
          <w:sz w:val="24"/>
          <w:szCs w:val="24"/>
        </w:rPr>
        <w:t>1</w:t>
      </w:r>
    </w:p>
    <w:p w:rsidR="00283937" w:rsidRDefault="00283937" w:rsidP="00283937">
      <w:pPr>
        <w:pStyle w:val="ListParagraph"/>
        <w:numPr>
          <w:ilvl w:val="0"/>
          <w:numId w:val="2"/>
        </w:numPr>
        <w:tabs>
          <w:tab w:val="left" w:pos="720"/>
          <w:tab w:val="left" w:pos="1440"/>
          <w:tab w:val="right" w:leader="dot" w:pos="9360"/>
        </w:tabs>
        <w:spacing w:after="0" w:line="240" w:lineRule="auto"/>
        <w:ind w:right="36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Business Tax Cases by City Council District</w:t>
      </w:r>
      <w:r>
        <w:rPr>
          <w:rFonts w:ascii="Times New Roman" w:eastAsiaTheme="minorEastAsia" w:hAnsi="Times New Roman" w:cs="Times New Roman"/>
          <w:kern w:val="24"/>
          <w:sz w:val="24"/>
          <w:szCs w:val="24"/>
        </w:rPr>
        <w:tab/>
      </w:r>
      <w:r w:rsidR="002E51DF">
        <w:rPr>
          <w:rFonts w:ascii="Times New Roman" w:eastAsiaTheme="minorEastAsia" w:hAnsi="Times New Roman" w:cs="Times New Roman"/>
          <w:kern w:val="24"/>
          <w:sz w:val="24"/>
          <w:szCs w:val="24"/>
        </w:rPr>
        <w:t>2</w:t>
      </w:r>
      <w:r w:rsidR="00DD7111">
        <w:rPr>
          <w:rFonts w:ascii="Times New Roman" w:eastAsiaTheme="minorEastAsia" w:hAnsi="Times New Roman" w:cs="Times New Roman"/>
          <w:kern w:val="24"/>
          <w:sz w:val="24"/>
          <w:szCs w:val="24"/>
        </w:rPr>
        <w:t>1</w:t>
      </w:r>
    </w:p>
    <w:p w:rsidR="009A6E18" w:rsidRPr="00283937" w:rsidRDefault="006958E7" w:rsidP="00283937">
      <w:pPr>
        <w:pStyle w:val="ListParagraph"/>
        <w:numPr>
          <w:ilvl w:val="0"/>
          <w:numId w:val="2"/>
        </w:numPr>
        <w:tabs>
          <w:tab w:val="left" w:pos="720"/>
          <w:tab w:val="left" w:pos="1440"/>
          <w:tab w:val="right" w:leader="dot" w:pos="9360"/>
        </w:tabs>
        <w:spacing w:after="0" w:line="240" w:lineRule="auto"/>
        <w:ind w:right="36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Referrals by Source</w:t>
      </w:r>
      <w:r w:rsidR="009A6E18" w:rsidRPr="00283937">
        <w:rPr>
          <w:rFonts w:ascii="Times New Roman" w:eastAsiaTheme="minorEastAsia" w:hAnsi="Times New Roman" w:cs="Times New Roman"/>
          <w:kern w:val="24"/>
          <w:sz w:val="24"/>
          <w:szCs w:val="24"/>
        </w:rPr>
        <w:tab/>
      </w:r>
      <w:r w:rsidR="00283937">
        <w:rPr>
          <w:rFonts w:ascii="Times New Roman" w:eastAsiaTheme="minorEastAsia" w:hAnsi="Times New Roman" w:cs="Times New Roman"/>
          <w:kern w:val="24"/>
          <w:sz w:val="24"/>
          <w:szCs w:val="24"/>
        </w:rPr>
        <w:t>2</w:t>
      </w:r>
      <w:r w:rsidR="00DD7111">
        <w:rPr>
          <w:rFonts w:ascii="Times New Roman" w:eastAsiaTheme="minorEastAsia" w:hAnsi="Times New Roman" w:cs="Times New Roman"/>
          <w:kern w:val="24"/>
          <w:sz w:val="24"/>
          <w:szCs w:val="24"/>
        </w:rPr>
        <w:t>2</w:t>
      </w:r>
    </w:p>
    <w:p w:rsidR="00F01006" w:rsidRPr="00FB16A0" w:rsidRDefault="00F01006" w:rsidP="00983C2B">
      <w:pPr>
        <w:pStyle w:val="ListParagraph"/>
        <w:tabs>
          <w:tab w:val="left" w:pos="720"/>
          <w:tab w:val="left" w:pos="1440"/>
          <w:tab w:val="right" w:leader="dot" w:pos="9360"/>
        </w:tabs>
        <w:spacing w:after="0" w:line="240" w:lineRule="auto"/>
        <w:ind w:left="1800" w:right="360"/>
        <w:rPr>
          <w:rFonts w:ascii="Times New Roman" w:eastAsiaTheme="minorEastAsia" w:hAnsi="Times New Roman" w:cs="Times New Roman"/>
          <w:kern w:val="24"/>
          <w:sz w:val="24"/>
          <w:szCs w:val="24"/>
        </w:rPr>
      </w:pPr>
    </w:p>
    <w:p w:rsidR="00E8573F" w:rsidRPr="00E8573F" w:rsidRDefault="00655295" w:rsidP="00655295">
      <w:pPr>
        <w:tabs>
          <w:tab w:val="left" w:pos="720"/>
          <w:tab w:val="left" w:pos="1440"/>
          <w:tab w:val="right" w:leader="dot" w:pos="9360"/>
        </w:tabs>
        <w:spacing w:after="0" w:line="240" w:lineRule="auto"/>
        <w:ind w:right="360"/>
        <w:rPr>
          <w:rFonts w:ascii="Times New Roman" w:eastAsiaTheme="minorEastAsia" w:hAnsi="Times New Roman" w:cs="Times New Roman"/>
          <w:b/>
          <w:kern w:val="24"/>
          <w:sz w:val="24"/>
          <w:szCs w:val="24"/>
        </w:rPr>
      </w:pPr>
      <w:r w:rsidRPr="00E8573F">
        <w:rPr>
          <w:rFonts w:ascii="Times New Roman" w:eastAsiaTheme="minorEastAsia" w:hAnsi="Times New Roman" w:cs="Times New Roman"/>
          <w:b/>
          <w:kern w:val="24"/>
          <w:sz w:val="24"/>
          <w:szCs w:val="24"/>
        </w:rPr>
        <w:t>Part I</w:t>
      </w:r>
      <w:r w:rsidR="00521504" w:rsidRPr="00E8573F">
        <w:rPr>
          <w:rFonts w:ascii="Times New Roman" w:eastAsiaTheme="minorEastAsia" w:hAnsi="Times New Roman" w:cs="Times New Roman"/>
          <w:b/>
          <w:kern w:val="24"/>
          <w:sz w:val="24"/>
          <w:szCs w:val="24"/>
        </w:rPr>
        <w:t>V</w:t>
      </w:r>
      <w:r w:rsidR="00D82B1C" w:rsidRPr="00E8573F">
        <w:rPr>
          <w:rFonts w:ascii="Times New Roman" w:eastAsiaTheme="minorEastAsia" w:hAnsi="Times New Roman" w:cs="Times New Roman"/>
          <w:b/>
          <w:kern w:val="24"/>
          <w:sz w:val="24"/>
          <w:szCs w:val="24"/>
        </w:rPr>
        <w:t xml:space="preserve"> </w:t>
      </w:r>
    </w:p>
    <w:p w:rsidR="00E8573F" w:rsidRPr="00E8573F" w:rsidRDefault="00E8573F" w:rsidP="00655295">
      <w:pPr>
        <w:tabs>
          <w:tab w:val="left" w:pos="720"/>
          <w:tab w:val="left" w:pos="1440"/>
          <w:tab w:val="right" w:leader="dot" w:pos="9360"/>
        </w:tabs>
        <w:spacing w:after="0" w:line="240" w:lineRule="auto"/>
        <w:ind w:right="360"/>
        <w:rPr>
          <w:rFonts w:ascii="Times New Roman" w:eastAsiaTheme="minorEastAsia" w:hAnsi="Times New Roman" w:cs="Times New Roman"/>
          <w:kern w:val="24"/>
          <w:sz w:val="24"/>
          <w:szCs w:val="24"/>
        </w:rPr>
      </w:pPr>
    </w:p>
    <w:p w:rsidR="00D82B1C" w:rsidRPr="00E8573F" w:rsidRDefault="006958E7" w:rsidP="00655295">
      <w:pPr>
        <w:tabs>
          <w:tab w:val="left" w:pos="720"/>
          <w:tab w:val="left" w:pos="1440"/>
          <w:tab w:val="right" w:leader="dot" w:pos="9360"/>
        </w:tabs>
        <w:spacing w:after="0" w:line="240" w:lineRule="auto"/>
        <w:ind w:right="36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Recommendations for the Current Reporting Period</w:t>
      </w:r>
      <w:r w:rsidR="002D047C" w:rsidRPr="00E8573F">
        <w:rPr>
          <w:rFonts w:ascii="Times New Roman" w:eastAsiaTheme="minorEastAsia" w:hAnsi="Times New Roman" w:cs="Times New Roman"/>
          <w:kern w:val="24"/>
          <w:sz w:val="24"/>
          <w:szCs w:val="24"/>
        </w:rPr>
        <w:tab/>
      </w:r>
      <w:r w:rsidR="00283937" w:rsidRPr="00E8573F">
        <w:rPr>
          <w:rFonts w:ascii="Times New Roman" w:eastAsiaTheme="minorEastAsia" w:hAnsi="Times New Roman" w:cs="Times New Roman"/>
          <w:kern w:val="24"/>
          <w:sz w:val="24"/>
          <w:szCs w:val="24"/>
        </w:rPr>
        <w:t>2</w:t>
      </w:r>
      <w:r w:rsidR="00DD7111">
        <w:rPr>
          <w:rFonts w:ascii="Times New Roman" w:eastAsiaTheme="minorEastAsia" w:hAnsi="Times New Roman" w:cs="Times New Roman"/>
          <w:kern w:val="24"/>
          <w:sz w:val="24"/>
          <w:szCs w:val="24"/>
        </w:rPr>
        <w:t>2</w:t>
      </w:r>
      <w:r w:rsidR="00283937" w:rsidRPr="00E8573F">
        <w:rPr>
          <w:rFonts w:ascii="Times New Roman" w:eastAsiaTheme="minorEastAsia" w:hAnsi="Times New Roman" w:cs="Times New Roman"/>
          <w:kern w:val="24"/>
          <w:sz w:val="24"/>
          <w:szCs w:val="24"/>
        </w:rPr>
        <w:t>-</w:t>
      </w:r>
      <w:r w:rsidR="00DD7111">
        <w:rPr>
          <w:rFonts w:ascii="Times New Roman" w:eastAsiaTheme="minorEastAsia" w:hAnsi="Times New Roman" w:cs="Times New Roman"/>
          <w:kern w:val="24"/>
          <w:sz w:val="24"/>
          <w:szCs w:val="24"/>
        </w:rPr>
        <w:t>28</w:t>
      </w:r>
    </w:p>
    <w:p w:rsidR="00F01006" w:rsidRPr="00E8573F" w:rsidRDefault="00F01006" w:rsidP="00655295">
      <w:pPr>
        <w:tabs>
          <w:tab w:val="left" w:pos="720"/>
          <w:tab w:val="left" w:pos="1440"/>
          <w:tab w:val="right" w:leader="dot" w:pos="9360"/>
        </w:tabs>
        <w:spacing w:after="0" w:line="240" w:lineRule="auto"/>
        <w:ind w:right="360"/>
        <w:rPr>
          <w:rFonts w:ascii="Times New Roman" w:eastAsiaTheme="minorEastAsia" w:hAnsi="Times New Roman" w:cs="Times New Roman"/>
          <w:kern w:val="24"/>
          <w:sz w:val="24"/>
          <w:szCs w:val="24"/>
        </w:rPr>
      </w:pPr>
    </w:p>
    <w:p w:rsidR="00F01006" w:rsidRPr="00E8573F" w:rsidRDefault="008E5FAF" w:rsidP="008E5FAF">
      <w:pPr>
        <w:tabs>
          <w:tab w:val="left" w:pos="720"/>
          <w:tab w:val="right" w:leader="dot" w:pos="9360"/>
        </w:tabs>
        <w:spacing w:after="0" w:line="240" w:lineRule="auto"/>
        <w:ind w:right="360"/>
        <w:rPr>
          <w:rFonts w:ascii="Times New Roman" w:eastAsiaTheme="minorEastAsia" w:hAnsi="Times New Roman" w:cs="Times New Roman"/>
          <w:kern w:val="24"/>
          <w:sz w:val="24"/>
          <w:szCs w:val="24"/>
        </w:rPr>
      </w:pPr>
      <w:r w:rsidRPr="00E8573F">
        <w:rPr>
          <w:rFonts w:ascii="Times New Roman" w:eastAsiaTheme="minorEastAsia" w:hAnsi="Times New Roman" w:cs="Times New Roman"/>
          <w:kern w:val="24"/>
          <w:sz w:val="24"/>
          <w:szCs w:val="24"/>
        </w:rPr>
        <w:t xml:space="preserve">Addendum: </w:t>
      </w:r>
      <w:r w:rsidR="00D53C80" w:rsidRPr="00E8573F">
        <w:rPr>
          <w:rFonts w:ascii="Times New Roman" w:eastAsiaTheme="minorEastAsia" w:hAnsi="Times New Roman" w:cs="Times New Roman"/>
          <w:kern w:val="24"/>
          <w:sz w:val="24"/>
          <w:szCs w:val="24"/>
        </w:rPr>
        <w:t>SCRIE and DRIE Statistics</w:t>
      </w:r>
      <w:r w:rsidRPr="00E8573F">
        <w:rPr>
          <w:rFonts w:ascii="Times New Roman" w:eastAsiaTheme="minorEastAsia" w:hAnsi="Times New Roman" w:cs="Times New Roman"/>
          <w:kern w:val="24"/>
          <w:sz w:val="24"/>
          <w:szCs w:val="24"/>
        </w:rPr>
        <w:tab/>
      </w:r>
      <w:r w:rsidR="00DD7111">
        <w:rPr>
          <w:rFonts w:ascii="Times New Roman" w:eastAsiaTheme="minorEastAsia" w:hAnsi="Times New Roman" w:cs="Times New Roman"/>
          <w:kern w:val="24"/>
          <w:sz w:val="24"/>
          <w:szCs w:val="24"/>
        </w:rPr>
        <w:t>29-30</w:t>
      </w:r>
    </w:p>
    <w:p w:rsidR="00F01006" w:rsidRPr="00E8573F" w:rsidRDefault="00F01006" w:rsidP="00655295">
      <w:pPr>
        <w:tabs>
          <w:tab w:val="left" w:pos="720"/>
          <w:tab w:val="left" w:pos="1440"/>
          <w:tab w:val="right" w:leader="dot" w:pos="9360"/>
        </w:tabs>
        <w:spacing w:after="0" w:line="240" w:lineRule="auto"/>
        <w:ind w:right="360"/>
        <w:rPr>
          <w:rFonts w:ascii="Times New Roman" w:eastAsiaTheme="minorEastAsia" w:hAnsi="Times New Roman" w:cs="Times New Roman"/>
          <w:kern w:val="24"/>
          <w:sz w:val="24"/>
          <w:szCs w:val="24"/>
        </w:rPr>
      </w:pPr>
    </w:p>
    <w:p w:rsidR="00D53C80" w:rsidRPr="00FB16A0" w:rsidRDefault="00942643" w:rsidP="008E5FAF">
      <w:pPr>
        <w:tabs>
          <w:tab w:val="left" w:pos="720"/>
          <w:tab w:val="right" w:leader="dot" w:pos="9360"/>
        </w:tabs>
        <w:spacing w:after="0" w:line="240" w:lineRule="auto"/>
        <w:ind w:right="360"/>
        <w:rPr>
          <w:rFonts w:ascii="Times New Roman" w:eastAsiaTheme="minorEastAsia" w:hAnsi="Times New Roman" w:cs="Times New Roman"/>
          <w:kern w:val="24"/>
          <w:sz w:val="24"/>
          <w:szCs w:val="24"/>
        </w:rPr>
      </w:pPr>
      <w:r w:rsidRPr="00E8573F">
        <w:rPr>
          <w:rFonts w:ascii="Times New Roman" w:eastAsiaTheme="minorEastAsia" w:hAnsi="Times New Roman" w:cs="Times New Roman"/>
          <w:kern w:val="24"/>
          <w:sz w:val="24"/>
          <w:szCs w:val="24"/>
        </w:rPr>
        <w:t>Glossary</w:t>
      </w:r>
      <w:r w:rsidR="008E5FAF" w:rsidRPr="00E8573F">
        <w:rPr>
          <w:rFonts w:ascii="Times New Roman" w:eastAsiaTheme="minorEastAsia" w:hAnsi="Times New Roman" w:cs="Times New Roman"/>
          <w:kern w:val="24"/>
          <w:sz w:val="24"/>
          <w:szCs w:val="24"/>
        </w:rPr>
        <w:tab/>
      </w:r>
      <w:r w:rsidR="00283937" w:rsidRPr="00E8573F">
        <w:rPr>
          <w:rFonts w:ascii="Times New Roman" w:eastAsiaTheme="minorEastAsia" w:hAnsi="Times New Roman" w:cs="Times New Roman"/>
          <w:kern w:val="24"/>
          <w:sz w:val="24"/>
          <w:szCs w:val="24"/>
        </w:rPr>
        <w:t>3</w:t>
      </w:r>
      <w:r w:rsidR="00DD7111">
        <w:rPr>
          <w:rFonts w:ascii="Times New Roman" w:eastAsiaTheme="minorEastAsia" w:hAnsi="Times New Roman" w:cs="Times New Roman"/>
          <w:kern w:val="24"/>
          <w:sz w:val="24"/>
          <w:szCs w:val="24"/>
        </w:rPr>
        <w:t>1</w:t>
      </w:r>
      <w:r w:rsidR="00283937" w:rsidRPr="00E8573F">
        <w:rPr>
          <w:rFonts w:ascii="Times New Roman" w:eastAsiaTheme="minorEastAsia" w:hAnsi="Times New Roman" w:cs="Times New Roman"/>
          <w:kern w:val="24"/>
          <w:sz w:val="24"/>
          <w:szCs w:val="24"/>
        </w:rPr>
        <w:t>-</w:t>
      </w:r>
      <w:r w:rsidR="002E51DF" w:rsidRPr="00E8573F">
        <w:rPr>
          <w:rFonts w:ascii="Times New Roman" w:eastAsiaTheme="minorEastAsia" w:hAnsi="Times New Roman" w:cs="Times New Roman"/>
          <w:kern w:val="24"/>
          <w:sz w:val="24"/>
          <w:szCs w:val="24"/>
        </w:rPr>
        <w:t>3</w:t>
      </w:r>
      <w:r w:rsidR="00DD7111">
        <w:rPr>
          <w:rFonts w:ascii="Times New Roman" w:eastAsiaTheme="minorEastAsia" w:hAnsi="Times New Roman" w:cs="Times New Roman"/>
          <w:kern w:val="24"/>
          <w:sz w:val="24"/>
          <w:szCs w:val="24"/>
        </w:rPr>
        <w:t>5</w:t>
      </w:r>
      <w:bookmarkStart w:id="1" w:name="_GoBack"/>
      <w:bookmarkEnd w:id="1"/>
    </w:p>
    <w:p w:rsidR="00655295" w:rsidRPr="00FB16A0" w:rsidRDefault="00655295" w:rsidP="00655295">
      <w:pPr>
        <w:tabs>
          <w:tab w:val="left" w:pos="720"/>
          <w:tab w:val="left" w:pos="1440"/>
          <w:tab w:val="right" w:leader="dot" w:pos="9360"/>
        </w:tabs>
        <w:spacing w:after="0" w:line="240" w:lineRule="auto"/>
        <w:ind w:right="360"/>
        <w:rPr>
          <w:rFonts w:ascii="Times New Roman" w:eastAsiaTheme="minorEastAsia" w:hAnsi="Times New Roman" w:cs="Times New Roman"/>
          <w:kern w:val="24"/>
          <w:sz w:val="24"/>
          <w:szCs w:val="24"/>
        </w:rPr>
      </w:pPr>
    </w:p>
    <w:p w:rsidR="003142B7" w:rsidRPr="00FB16A0" w:rsidRDefault="003142B7" w:rsidP="003142B7">
      <w:pPr>
        <w:shd w:val="clear" w:color="auto" w:fill="FFFFFF"/>
        <w:spacing w:before="100" w:beforeAutospacing="1" w:after="100" w:afterAutospacing="1" w:line="300" w:lineRule="atLeast"/>
        <w:rPr>
          <w:rFonts w:ascii="Times New Roman" w:eastAsia="Times New Roman" w:hAnsi="Times New Roman" w:cs="Times New Roman"/>
          <w:sz w:val="24"/>
          <w:szCs w:val="24"/>
          <w:highlight w:val="yellow"/>
        </w:rPr>
      </w:pPr>
    </w:p>
    <w:p w:rsidR="005E7001" w:rsidRPr="00FB16A0" w:rsidRDefault="005E7001">
      <w:pPr>
        <w:rPr>
          <w:rFonts w:ascii="Times New Roman" w:hAnsi="Times New Roman" w:cs="Times New Roman"/>
          <w:sz w:val="24"/>
          <w:szCs w:val="24"/>
        </w:rPr>
      </w:pPr>
      <w:r w:rsidRPr="00FB16A0">
        <w:rPr>
          <w:rFonts w:ascii="Times New Roman" w:hAnsi="Times New Roman" w:cs="Times New Roman"/>
          <w:sz w:val="24"/>
          <w:szCs w:val="24"/>
        </w:rPr>
        <w:br w:type="page"/>
      </w:r>
    </w:p>
    <w:bookmarkEnd w:id="0"/>
    <w:p w:rsidR="00F71F52" w:rsidRPr="00FB16A0" w:rsidRDefault="00F71F52" w:rsidP="00640102">
      <w:pPr>
        <w:shd w:val="clear" w:color="auto" w:fill="FFFFFF"/>
        <w:spacing w:before="100" w:beforeAutospacing="1" w:after="100" w:afterAutospacing="1" w:line="300" w:lineRule="atLeast"/>
        <w:rPr>
          <w:rFonts w:ascii="Times New Roman" w:eastAsia="Times New Roman" w:hAnsi="Times New Roman" w:cs="Times New Roman"/>
          <w:sz w:val="24"/>
          <w:szCs w:val="24"/>
          <w:highlight w:val="yellow"/>
        </w:rPr>
        <w:sectPr w:rsidR="00F71F52" w:rsidRPr="00FB16A0" w:rsidSect="00882B01">
          <w:footerReference w:type="default" r:id="rId12"/>
          <w:pgSz w:w="12240" w:h="15840"/>
          <w:pgMar w:top="1440" w:right="1440" w:bottom="1440" w:left="1440" w:header="720" w:footer="720" w:gutter="0"/>
          <w:pgNumType w:start="1"/>
          <w:cols w:space="720"/>
          <w:docGrid w:linePitch="360"/>
        </w:sectPr>
      </w:pPr>
    </w:p>
    <w:p w:rsidR="00682619" w:rsidRDefault="00640102" w:rsidP="00B40EFA">
      <w:pPr>
        <w:keepNext/>
        <w:shd w:val="clear" w:color="auto" w:fill="FFFFFF"/>
        <w:spacing w:before="100" w:beforeAutospacing="1" w:after="100" w:afterAutospacing="1" w:line="300" w:lineRule="atLeast"/>
        <w:rPr>
          <w:rFonts w:ascii="Times New Roman" w:eastAsia="Times New Roman" w:hAnsi="Times New Roman" w:cs="Times New Roman"/>
          <w:b/>
          <w:sz w:val="28"/>
          <w:szCs w:val="28"/>
        </w:rPr>
      </w:pPr>
      <w:r w:rsidRPr="00FB16A0">
        <w:rPr>
          <w:rFonts w:ascii="Times New Roman" w:eastAsia="Times New Roman" w:hAnsi="Times New Roman" w:cs="Times New Roman"/>
          <w:b/>
          <w:sz w:val="28"/>
          <w:szCs w:val="28"/>
        </w:rPr>
        <w:lastRenderedPageBreak/>
        <w:t>Part I</w:t>
      </w:r>
      <w:r w:rsidR="00C27BD6" w:rsidRPr="00FB16A0">
        <w:rPr>
          <w:rFonts w:ascii="Times New Roman" w:eastAsia="Times New Roman" w:hAnsi="Times New Roman" w:cs="Times New Roman"/>
          <w:b/>
          <w:sz w:val="28"/>
          <w:szCs w:val="28"/>
        </w:rPr>
        <w:t xml:space="preserve">: </w:t>
      </w:r>
    </w:p>
    <w:p w:rsidR="003142B7" w:rsidRDefault="003142B7" w:rsidP="00B40EFA">
      <w:pPr>
        <w:keepNext/>
        <w:shd w:val="clear" w:color="auto" w:fill="FFFFFF"/>
        <w:spacing w:before="100" w:beforeAutospacing="1" w:after="100" w:afterAutospacing="1" w:line="30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Introduction</w:t>
      </w:r>
    </w:p>
    <w:p w:rsidR="003142B7" w:rsidRDefault="003142B7" w:rsidP="003142B7">
      <w:pPr>
        <w:pStyle w:val="Heading1"/>
        <w:numPr>
          <w:ilvl w:val="0"/>
          <w:numId w:val="10"/>
        </w:numPr>
        <w:rPr>
          <w:rFonts w:ascii="Times New Roman" w:hAnsi="Times New Roman" w:cs="Times New Roman"/>
          <w:color w:val="auto"/>
          <w:sz w:val="24"/>
          <w:szCs w:val="24"/>
        </w:rPr>
      </w:pPr>
      <w:r>
        <w:rPr>
          <w:rFonts w:ascii="Times New Roman" w:hAnsi="Times New Roman" w:cs="Times New Roman"/>
          <w:color w:val="auto"/>
          <w:sz w:val="24"/>
          <w:szCs w:val="24"/>
        </w:rPr>
        <w:t>Annual R</w:t>
      </w:r>
      <w:r w:rsidRPr="00AA7FAE">
        <w:rPr>
          <w:rFonts w:ascii="Times New Roman" w:hAnsi="Times New Roman" w:cs="Times New Roman"/>
          <w:color w:val="auto"/>
          <w:sz w:val="24"/>
          <w:szCs w:val="24"/>
        </w:rPr>
        <w:t>eport</w:t>
      </w:r>
      <w:r w:rsidR="00B10462">
        <w:rPr>
          <w:rFonts w:ascii="Times New Roman" w:hAnsi="Times New Roman" w:cs="Times New Roman"/>
          <w:color w:val="auto"/>
          <w:sz w:val="24"/>
          <w:szCs w:val="24"/>
        </w:rPr>
        <w:t xml:space="preserve"> to NYC Council</w:t>
      </w:r>
    </w:p>
    <w:p w:rsidR="003142B7" w:rsidRPr="00CB0D09" w:rsidRDefault="003142B7" w:rsidP="003142B7">
      <w:pPr>
        <w:keepNext/>
        <w:spacing w:after="0"/>
      </w:pPr>
    </w:p>
    <w:p w:rsidR="003142B7" w:rsidRPr="00AA7FAE" w:rsidRDefault="00385418" w:rsidP="003142B7">
      <w:pPr>
        <w:rPr>
          <w:rFonts w:ascii="Times New Roman" w:hAnsi="Times New Roman" w:cs="Times New Roman"/>
          <w:sz w:val="24"/>
          <w:szCs w:val="24"/>
        </w:rPr>
      </w:pPr>
      <w:r>
        <w:rPr>
          <w:rFonts w:ascii="Times New Roman" w:hAnsi="Times New Roman" w:cs="Times New Roman"/>
          <w:sz w:val="24"/>
          <w:szCs w:val="24"/>
        </w:rPr>
        <w:t>The Department of Finance is required to submit an annual report to the NYC Council no later than May 1</w:t>
      </w:r>
      <w:r w:rsidR="0025711E">
        <w:rPr>
          <w:rFonts w:ascii="Times New Roman" w:hAnsi="Times New Roman" w:cs="Times New Roman"/>
          <w:sz w:val="24"/>
          <w:szCs w:val="24"/>
        </w:rPr>
        <w:t xml:space="preserve"> </w:t>
      </w:r>
      <w:r>
        <w:rPr>
          <w:rFonts w:ascii="Times New Roman" w:hAnsi="Times New Roman" w:cs="Times New Roman"/>
          <w:sz w:val="24"/>
          <w:szCs w:val="24"/>
        </w:rPr>
        <w:t>detailing the activities of the Office of the Taxpayer Advocate during the preceding year.</w:t>
      </w:r>
      <w:r w:rsidR="00971EAC">
        <w:rPr>
          <w:rFonts w:ascii="Times New Roman" w:hAnsi="Times New Roman" w:cs="Times New Roman"/>
          <w:sz w:val="24"/>
          <w:szCs w:val="24"/>
        </w:rPr>
        <w:t xml:space="preserve"> </w:t>
      </w:r>
      <w:r>
        <w:rPr>
          <w:rFonts w:ascii="Times New Roman" w:hAnsi="Times New Roman" w:cs="Times New Roman"/>
          <w:sz w:val="24"/>
          <w:szCs w:val="24"/>
        </w:rPr>
        <w:t xml:space="preserve">This annual report must include the following: </w:t>
      </w:r>
    </w:p>
    <w:p w:rsidR="003142B7" w:rsidRPr="00AA7FAE" w:rsidRDefault="003142B7" w:rsidP="003142B7">
      <w:pPr>
        <w:pStyle w:val="ListParagraph"/>
        <w:numPr>
          <w:ilvl w:val="0"/>
          <w:numId w:val="11"/>
        </w:numPr>
        <w:rPr>
          <w:rFonts w:ascii="Times New Roman" w:hAnsi="Times New Roman" w:cs="Times New Roman"/>
          <w:sz w:val="24"/>
          <w:szCs w:val="24"/>
        </w:rPr>
      </w:pPr>
      <w:r w:rsidRPr="00AA7FAE">
        <w:rPr>
          <w:rFonts w:ascii="Times New Roman" w:hAnsi="Times New Roman" w:cs="Times New Roman"/>
          <w:sz w:val="24"/>
          <w:szCs w:val="24"/>
        </w:rPr>
        <w:t>The number and nature of inquiries received by the Taxpayer Advocate regarding property tax exemptions or business tax exemptions, whichever is applicable</w:t>
      </w:r>
      <w:r w:rsidR="00664F7C">
        <w:rPr>
          <w:rFonts w:ascii="Times New Roman" w:hAnsi="Times New Roman" w:cs="Times New Roman"/>
          <w:sz w:val="24"/>
          <w:szCs w:val="24"/>
        </w:rPr>
        <w:t>,</w:t>
      </w:r>
      <w:r w:rsidRPr="00AA7FAE">
        <w:rPr>
          <w:rFonts w:ascii="Times New Roman" w:hAnsi="Times New Roman" w:cs="Times New Roman"/>
          <w:sz w:val="24"/>
          <w:szCs w:val="24"/>
        </w:rPr>
        <w:t xml:space="preserve"> for Fiscal 2017; </w:t>
      </w:r>
    </w:p>
    <w:p w:rsidR="003142B7" w:rsidRPr="00AA7FAE" w:rsidRDefault="003142B7" w:rsidP="003142B7">
      <w:pPr>
        <w:pStyle w:val="ListParagraph"/>
        <w:numPr>
          <w:ilvl w:val="0"/>
          <w:numId w:val="11"/>
        </w:numPr>
        <w:rPr>
          <w:rFonts w:ascii="Times New Roman" w:hAnsi="Times New Roman" w:cs="Times New Roman"/>
          <w:sz w:val="24"/>
          <w:szCs w:val="24"/>
        </w:rPr>
      </w:pPr>
      <w:r w:rsidRPr="00AA7FAE">
        <w:rPr>
          <w:rFonts w:ascii="Times New Roman" w:hAnsi="Times New Roman" w:cs="Times New Roman"/>
          <w:sz w:val="24"/>
          <w:szCs w:val="24"/>
        </w:rPr>
        <w:t xml:space="preserve">The number, nature, and resolution of complaints received by the Taxpayer Advocate; </w:t>
      </w:r>
    </w:p>
    <w:p w:rsidR="003142B7" w:rsidRPr="00AA7FAE" w:rsidRDefault="003142B7" w:rsidP="003142B7">
      <w:pPr>
        <w:pStyle w:val="ListParagraph"/>
        <w:numPr>
          <w:ilvl w:val="0"/>
          <w:numId w:val="11"/>
        </w:numPr>
        <w:rPr>
          <w:rFonts w:ascii="Times New Roman" w:hAnsi="Times New Roman" w:cs="Times New Roman"/>
          <w:sz w:val="24"/>
          <w:szCs w:val="24"/>
        </w:rPr>
      </w:pPr>
      <w:r w:rsidRPr="00AA7FAE">
        <w:rPr>
          <w:rFonts w:ascii="Times New Roman" w:hAnsi="Times New Roman" w:cs="Times New Roman"/>
          <w:sz w:val="24"/>
          <w:szCs w:val="24"/>
        </w:rPr>
        <w:t xml:space="preserve">Any recommendations made by the Taxpayer Advocate to the </w:t>
      </w:r>
      <w:r w:rsidR="00664F7C">
        <w:rPr>
          <w:rFonts w:ascii="Times New Roman" w:hAnsi="Times New Roman" w:cs="Times New Roman"/>
          <w:sz w:val="24"/>
          <w:szCs w:val="24"/>
        </w:rPr>
        <w:t>C</w:t>
      </w:r>
      <w:r w:rsidRPr="00AA7FAE">
        <w:rPr>
          <w:rFonts w:ascii="Times New Roman" w:hAnsi="Times New Roman" w:cs="Times New Roman"/>
          <w:sz w:val="24"/>
          <w:szCs w:val="24"/>
        </w:rPr>
        <w:t xml:space="preserve">ommissioner; </w:t>
      </w:r>
    </w:p>
    <w:p w:rsidR="003142B7" w:rsidRPr="00AA7FAE" w:rsidRDefault="003142B7" w:rsidP="003142B7">
      <w:pPr>
        <w:pStyle w:val="ListParagraph"/>
        <w:numPr>
          <w:ilvl w:val="0"/>
          <w:numId w:val="11"/>
        </w:numPr>
        <w:rPr>
          <w:rFonts w:ascii="Times New Roman" w:hAnsi="Times New Roman" w:cs="Times New Roman"/>
          <w:sz w:val="24"/>
          <w:szCs w:val="24"/>
        </w:rPr>
      </w:pPr>
      <w:r w:rsidRPr="00AA7FAE">
        <w:rPr>
          <w:rFonts w:ascii="Times New Roman" w:hAnsi="Times New Roman" w:cs="Times New Roman"/>
          <w:sz w:val="24"/>
          <w:szCs w:val="24"/>
        </w:rPr>
        <w:t xml:space="preserve">The acceptance and denial rates </w:t>
      </w:r>
      <w:r w:rsidR="00664F7C">
        <w:rPr>
          <w:rFonts w:ascii="Times New Roman" w:hAnsi="Times New Roman" w:cs="Times New Roman"/>
          <w:sz w:val="24"/>
          <w:szCs w:val="24"/>
        </w:rPr>
        <w:t>of such recommendations by the C</w:t>
      </w:r>
      <w:r w:rsidRPr="00AA7FAE">
        <w:rPr>
          <w:rFonts w:ascii="Times New Roman" w:hAnsi="Times New Roman" w:cs="Times New Roman"/>
          <w:sz w:val="24"/>
          <w:szCs w:val="24"/>
        </w:rPr>
        <w:t xml:space="preserve">ommissioner; and </w:t>
      </w:r>
    </w:p>
    <w:p w:rsidR="003142B7" w:rsidRPr="00AA7FAE" w:rsidRDefault="003142B7" w:rsidP="003142B7">
      <w:pPr>
        <w:pStyle w:val="ListParagraph"/>
        <w:numPr>
          <w:ilvl w:val="0"/>
          <w:numId w:val="11"/>
        </w:numPr>
        <w:rPr>
          <w:rFonts w:ascii="Times New Roman" w:hAnsi="Times New Roman" w:cs="Times New Roman"/>
          <w:sz w:val="24"/>
          <w:szCs w:val="24"/>
        </w:rPr>
      </w:pPr>
      <w:r w:rsidRPr="00AA7FAE">
        <w:rPr>
          <w:rFonts w:ascii="Times New Roman" w:hAnsi="Times New Roman" w:cs="Times New Roman"/>
          <w:sz w:val="24"/>
          <w:szCs w:val="24"/>
        </w:rPr>
        <w:t>The number and nature of inquiries referred t</w:t>
      </w:r>
      <w:r w:rsidR="00664F7C">
        <w:rPr>
          <w:rFonts w:ascii="Times New Roman" w:hAnsi="Times New Roman" w:cs="Times New Roman"/>
          <w:sz w:val="24"/>
          <w:szCs w:val="24"/>
        </w:rPr>
        <w:t>o the Taxpayer Advocate by the O</w:t>
      </w:r>
      <w:r w:rsidRPr="00AA7FAE">
        <w:rPr>
          <w:rFonts w:ascii="Times New Roman" w:hAnsi="Times New Roman" w:cs="Times New Roman"/>
          <w:sz w:val="24"/>
          <w:szCs w:val="24"/>
        </w:rPr>
        <w:t xml:space="preserve">mbudspersons at the Department; and </w:t>
      </w:r>
    </w:p>
    <w:p w:rsidR="003142B7" w:rsidRPr="00AA7FAE" w:rsidRDefault="003142B7" w:rsidP="003142B7">
      <w:pPr>
        <w:pStyle w:val="ListParagraph"/>
        <w:numPr>
          <w:ilvl w:val="0"/>
          <w:numId w:val="11"/>
        </w:numPr>
        <w:rPr>
          <w:rFonts w:ascii="Times New Roman" w:hAnsi="Times New Roman" w:cs="Times New Roman"/>
          <w:sz w:val="24"/>
          <w:szCs w:val="24"/>
        </w:rPr>
      </w:pPr>
      <w:r w:rsidRPr="00AA7FAE">
        <w:rPr>
          <w:rFonts w:ascii="Times New Roman" w:hAnsi="Times New Roman" w:cs="Times New Roman"/>
          <w:sz w:val="24"/>
          <w:szCs w:val="24"/>
        </w:rPr>
        <w:t>The number and nature of inquiries referred to the Taxpayer Advocate by 311.</w:t>
      </w:r>
    </w:p>
    <w:p w:rsidR="003142B7" w:rsidRDefault="003142B7" w:rsidP="003142B7">
      <w:pPr>
        <w:pStyle w:val="Heading1"/>
        <w:keepLines w:val="0"/>
        <w:numPr>
          <w:ilvl w:val="0"/>
          <w:numId w:val="10"/>
        </w:numPr>
        <w:rPr>
          <w:rFonts w:ascii="Times New Roman" w:eastAsia="Times New Roman" w:hAnsi="Times New Roman" w:cs="Times New Roman"/>
          <w:color w:val="auto"/>
          <w:sz w:val="24"/>
          <w:szCs w:val="24"/>
        </w:rPr>
      </w:pPr>
      <w:bookmarkStart w:id="2" w:name="_Toc448260918"/>
      <w:r w:rsidRPr="00AA7FAE">
        <w:rPr>
          <w:rFonts w:ascii="Times New Roman" w:eastAsia="Times New Roman" w:hAnsi="Times New Roman" w:cs="Times New Roman"/>
          <w:color w:val="auto"/>
          <w:sz w:val="24"/>
          <w:szCs w:val="24"/>
        </w:rPr>
        <w:t>Taxpayer Advocacy</w:t>
      </w:r>
    </w:p>
    <w:p w:rsidR="003142B7" w:rsidRPr="00CB0D09" w:rsidRDefault="003142B7" w:rsidP="003142B7">
      <w:pPr>
        <w:keepNext/>
        <w:spacing w:after="0"/>
      </w:pPr>
    </w:p>
    <w:p w:rsidR="003142B7" w:rsidRPr="003142B7" w:rsidRDefault="003142B7" w:rsidP="003142B7">
      <w:pPr>
        <w:rPr>
          <w:rFonts w:ascii="Times New Roman" w:hAnsi="Times New Roman" w:cs="Times New Roman"/>
          <w:sz w:val="24"/>
          <w:szCs w:val="24"/>
        </w:rPr>
      </w:pPr>
      <w:r w:rsidRPr="003142B7">
        <w:rPr>
          <w:rFonts w:ascii="Times New Roman" w:hAnsi="Times New Roman" w:cs="Times New Roman"/>
          <w:sz w:val="24"/>
          <w:szCs w:val="24"/>
        </w:rPr>
        <w:t xml:space="preserve">OTA </w:t>
      </w:r>
      <w:r w:rsidR="00A44E10">
        <w:rPr>
          <w:rFonts w:ascii="Times New Roman" w:hAnsi="Times New Roman" w:cs="Times New Roman"/>
          <w:sz w:val="24"/>
          <w:szCs w:val="24"/>
        </w:rPr>
        <w:t xml:space="preserve">advocates for </w:t>
      </w:r>
      <w:r w:rsidR="00B10462">
        <w:rPr>
          <w:rFonts w:ascii="Times New Roman" w:hAnsi="Times New Roman" w:cs="Times New Roman"/>
          <w:sz w:val="24"/>
          <w:szCs w:val="24"/>
        </w:rPr>
        <w:t xml:space="preserve">NYC </w:t>
      </w:r>
      <w:r w:rsidR="00A44E10">
        <w:rPr>
          <w:rFonts w:ascii="Times New Roman" w:hAnsi="Times New Roman" w:cs="Times New Roman"/>
          <w:sz w:val="24"/>
          <w:szCs w:val="24"/>
        </w:rPr>
        <w:t xml:space="preserve">taxpayers and property owners through its </w:t>
      </w:r>
      <w:r w:rsidRPr="003142B7">
        <w:rPr>
          <w:rFonts w:ascii="Times New Roman" w:hAnsi="Times New Roman" w:cs="Times New Roman"/>
          <w:sz w:val="24"/>
          <w:szCs w:val="24"/>
        </w:rPr>
        <w:t>handl</w:t>
      </w:r>
      <w:r w:rsidR="00A44E10">
        <w:rPr>
          <w:rFonts w:ascii="Times New Roman" w:hAnsi="Times New Roman" w:cs="Times New Roman"/>
          <w:sz w:val="24"/>
          <w:szCs w:val="24"/>
        </w:rPr>
        <w:t xml:space="preserve">ing of </w:t>
      </w:r>
      <w:r w:rsidR="00580C21">
        <w:rPr>
          <w:rFonts w:ascii="Times New Roman" w:hAnsi="Times New Roman" w:cs="Times New Roman"/>
          <w:sz w:val="24"/>
          <w:szCs w:val="24"/>
        </w:rPr>
        <w:t>“</w:t>
      </w:r>
      <w:r w:rsidRPr="003142B7">
        <w:rPr>
          <w:rFonts w:ascii="Times New Roman" w:hAnsi="Times New Roman" w:cs="Times New Roman"/>
          <w:sz w:val="24"/>
          <w:szCs w:val="24"/>
        </w:rPr>
        <w:t>inquiries</w:t>
      </w:r>
      <w:r w:rsidR="00580C21">
        <w:rPr>
          <w:rFonts w:ascii="Times New Roman" w:hAnsi="Times New Roman" w:cs="Times New Roman"/>
          <w:sz w:val="24"/>
          <w:szCs w:val="24"/>
        </w:rPr>
        <w:t>”</w:t>
      </w:r>
      <w:r w:rsidRPr="003142B7">
        <w:rPr>
          <w:rFonts w:ascii="Times New Roman" w:hAnsi="Times New Roman" w:cs="Times New Roman"/>
          <w:sz w:val="24"/>
          <w:szCs w:val="24"/>
        </w:rPr>
        <w:t xml:space="preserve"> and </w:t>
      </w:r>
      <w:r w:rsidR="00580C21">
        <w:rPr>
          <w:rFonts w:ascii="Times New Roman" w:hAnsi="Times New Roman" w:cs="Times New Roman"/>
          <w:sz w:val="24"/>
          <w:szCs w:val="24"/>
        </w:rPr>
        <w:t>“</w:t>
      </w:r>
      <w:r w:rsidRPr="003142B7">
        <w:rPr>
          <w:rFonts w:ascii="Times New Roman" w:hAnsi="Times New Roman" w:cs="Times New Roman"/>
          <w:sz w:val="24"/>
          <w:szCs w:val="24"/>
        </w:rPr>
        <w:t>cases</w:t>
      </w:r>
      <w:r w:rsidR="00580C21">
        <w:rPr>
          <w:rFonts w:ascii="Times New Roman" w:hAnsi="Times New Roman" w:cs="Times New Roman"/>
          <w:sz w:val="24"/>
          <w:szCs w:val="24"/>
        </w:rPr>
        <w:t>”</w:t>
      </w:r>
      <w:r w:rsidRPr="003142B7">
        <w:rPr>
          <w:rFonts w:ascii="Times New Roman" w:hAnsi="Times New Roman" w:cs="Times New Roman"/>
          <w:sz w:val="24"/>
          <w:szCs w:val="24"/>
        </w:rPr>
        <w:t xml:space="preserve"> involving </w:t>
      </w:r>
      <w:r w:rsidR="00A44E10">
        <w:rPr>
          <w:rFonts w:ascii="Times New Roman" w:hAnsi="Times New Roman" w:cs="Times New Roman"/>
          <w:sz w:val="24"/>
          <w:szCs w:val="24"/>
        </w:rPr>
        <w:t>business income and excise and property taxes</w:t>
      </w:r>
      <w:r w:rsidR="00B10462">
        <w:rPr>
          <w:rFonts w:ascii="Times New Roman" w:hAnsi="Times New Roman" w:cs="Times New Roman"/>
          <w:sz w:val="24"/>
          <w:szCs w:val="24"/>
        </w:rPr>
        <w:t xml:space="preserve"> administered by the DOF</w:t>
      </w:r>
      <w:r w:rsidR="00A44E10">
        <w:rPr>
          <w:rFonts w:ascii="Times New Roman" w:hAnsi="Times New Roman" w:cs="Times New Roman"/>
          <w:sz w:val="24"/>
          <w:szCs w:val="24"/>
        </w:rPr>
        <w:t xml:space="preserve">. </w:t>
      </w:r>
    </w:p>
    <w:p w:rsidR="00A44E10" w:rsidRDefault="003142B7" w:rsidP="003142B7">
      <w:pPr>
        <w:rPr>
          <w:rFonts w:ascii="Times New Roman" w:hAnsi="Times New Roman" w:cs="Times New Roman"/>
          <w:b/>
          <w:sz w:val="24"/>
          <w:szCs w:val="24"/>
        </w:rPr>
      </w:pPr>
      <w:r w:rsidRPr="003142B7">
        <w:rPr>
          <w:rFonts w:ascii="Times New Roman" w:hAnsi="Times New Roman" w:cs="Times New Roman"/>
          <w:b/>
          <w:sz w:val="24"/>
          <w:szCs w:val="24"/>
        </w:rPr>
        <w:t>Inquiries</w:t>
      </w:r>
    </w:p>
    <w:p w:rsidR="003142B7" w:rsidRPr="003142B7" w:rsidRDefault="00A44E10" w:rsidP="003142B7">
      <w:pPr>
        <w:rPr>
          <w:rFonts w:ascii="Times New Roman" w:hAnsi="Times New Roman" w:cs="Times New Roman"/>
          <w:sz w:val="24"/>
          <w:szCs w:val="24"/>
        </w:rPr>
      </w:pPr>
      <w:r w:rsidRPr="00580C21">
        <w:rPr>
          <w:rFonts w:ascii="Times New Roman" w:hAnsi="Times New Roman" w:cs="Times New Roman"/>
          <w:sz w:val="24"/>
          <w:szCs w:val="24"/>
        </w:rPr>
        <w:t>Inquiries</w:t>
      </w:r>
      <w:r>
        <w:rPr>
          <w:rFonts w:ascii="Times New Roman" w:hAnsi="Times New Roman" w:cs="Times New Roman"/>
          <w:sz w:val="24"/>
          <w:szCs w:val="24"/>
        </w:rPr>
        <w:t xml:space="preserve"> are specific requests from </w:t>
      </w:r>
      <w:bookmarkEnd w:id="2"/>
      <w:r w:rsidR="003142B7" w:rsidRPr="003142B7">
        <w:rPr>
          <w:rFonts w:ascii="Times New Roman" w:hAnsi="Times New Roman" w:cs="Times New Roman"/>
          <w:sz w:val="24"/>
          <w:szCs w:val="24"/>
        </w:rPr>
        <w:t xml:space="preserve">taxpayers for discrete information </w:t>
      </w:r>
      <w:r>
        <w:rPr>
          <w:rFonts w:ascii="Times New Roman" w:hAnsi="Times New Roman" w:cs="Times New Roman"/>
          <w:sz w:val="24"/>
          <w:szCs w:val="24"/>
        </w:rPr>
        <w:t xml:space="preserve">or assistance. </w:t>
      </w:r>
      <w:r w:rsidR="003142B7" w:rsidRPr="003142B7">
        <w:rPr>
          <w:rFonts w:ascii="Times New Roman" w:hAnsi="Times New Roman" w:cs="Times New Roman"/>
          <w:sz w:val="24"/>
          <w:szCs w:val="24"/>
        </w:rPr>
        <w:t>The</w:t>
      </w:r>
      <w:r>
        <w:rPr>
          <w:rFonts w:ascii="Times New Roman" w:hAnsi="Times New Roman" w:cs="Times New Roman"/>
          <w:sz w:val="24"/>
          <w:szCs w:val="24"/>
        </w:rPr>
        <w:t xml:space="preserve"> most common </w:t>
      </w:r>
      <w:r w:rsidR="0025711E">
        <w:rPr>
          <w:rFonts w:ascii="Times New Roman" w:hAnsi="Times New Roman" w:cs="Times New Roman"/>
          <w:sz w:val="24"/>
          <w:szCs w:val="24"/>
        </w:rPr>
        <w:t xml:space="preserve">reasons taxpayers seek guidance from OTA </w:t>
      </w:r>
      <w:r w:rsidR="001411EC">
        <w:rPr>
          <w:rFonts w:ascii="Times New Roman" w:hAnsi="Times New Roman" w:cs="Times New Roman"/>
          <w:sz w:val="24"/>
          <w:szCs w:val="24"/>
        </w:rPr>
        <w:t>is because they don’t understand</w:t>
      </w:r>
      <w:r w:rsidR="0025711E">
        <w:rPr>
          <w:rFonts w:ascii="Times New Roman" w:hAnsi="Times New Roman" w:cs="Times New Roman"/>
          <w:sz w:val="24"/>
          <w:szCs w:val="24"/>
        </w:rPr>
        <w:t xml:space="preserve"> how </w:t>
      </w:r>
      <w:r w:rsidR="001411EC">
        <w:rPr>
          <w:rFonts w:ascii="Times New Roman" w:hAnsi="Times New Roman" w:cs="Times New Roman"/>
          <w:sz w:val="24"/>
          <w:szCs w:val="24"/>
        </w:rPr>
        <w:t xml:space="preserve">their </w:t>
      </w:r>
      <w:r w:rsidR="0025711E">
        <w:rPr>
          <w:rFonts w:ascii="Times New Roman" w:hAnsi="Times New Roman" w:cs="Times New Roman"/>
          <w:sz w:val="24"/>
          <w:szCs w:val="24"/>
        </w:rPr>
        <w:t>taxes were calculated</w:t>
      </w:r>
      <w:r w:rsidR="001411EC">
        <w:rPr>
          <w:rFonts w:ascii="Times New Roman" w:hAnsi="Times New Roman" w:cs="Times New Roman"/>
          <w:sz w:val="24"/>
          <w:szCs w:val="24"/>
        </w:rPr>
        <w:t>,</w:t>
      </w:r>
      <w:r w:rsidR="0025711E">
        <w:rPr>
          <w:rFonts w:ascii="Times New Roman" w:hAnsi="Times New Roman" w:cs="Times New Roman"/>
          <w:sz w:val="24"/>
          <w:szCs w:val="24"/>
        </w:rPr>
        <w:t xml:space="preserve"> or how to </w:t>
      </w:r>
      <w:r w:rsidR="003142B7" w:rsidRPr="003142B7">
        <w:rPr>
          <w:rFonts w:ascii="Times New Roman" w:hAnsi="Times New Roman" w:cs="Times New Roman"/>
          <w:sz w:val="24"/>
          <w:szCs w:val="24"/>
        </w:rPr>
        <w:t>comply with tax law</w:t>
      </w:r>
      <w:r>
        <w:rPr>
          <w:rFonts w:ascii="Times New Roman" w:hAnsi="Times New Roman" w:cs="Times New Roman"/>
          <w:sz w:val="24"/>
          <w:szCs w:val="24"/>
        </w:rPr>
        <w:t>s</w:t>
      </w:r>
      <w:r w:rsidR="00971EAC">
        <w:rPr>
          <w:rFonts w:ascii="Times New Roman" w:hAnsi="Times New Roman" w:cs="Times New Roman"/>
          <w:sz w:val="24"/>
          <w:szCs w:val="24"/>
        </w:rPr>
        <w:t xml:space="preserve">. </w:t>
      </w:r>
      <w:r w:rsidR="001411EC">
        <w:rPr>
          <w:rFonts w:ascii="Times New Roman" w:hAnsi="Times New Roman" w:cs="Times New Roman"/>
          <w:sz w:val="24"/>
          <w:szCs w:val="24"/>
        </w:rPr>
        <w:t>OTA assists</w:t>
      </w:r>
      <w:r w:rsidR="00AB6CFE">
        <w:rPr>
          <w:rFonts w:ascii="Times New Roman" w:hAnsi="Times New Roman" w:cs="Times New Roman"/>
          <w:sz w:val="24"/>
          <w:szCs w:val="24"/>
        </w:rPr>
        <w:t xml:space="preserve"> taxpayers </w:t>
      </w:r>
      <w:r w:rsidR="001411EC">
        <w:rPr>
          <w:rFonts w:ascii="Times New Roman" w:hAnsi="Times New Roman" w:cs="Times New Roman"/>
          <w:sz w:val="24"/>
          <w:szCs w:val="24"/>
        </w:rPr>
        <w:t xml:space="preserve">navigate the Department and </w:t>
      </w:r>
      <w:r w:rsidR="00AB6CFE">
        <w:rPr>
          <w:rFonts w:ascii="Times New Roman" w:hAnsi="Times New Roman" w:cs="Times New Roman"/>
          <w:sz w:val="24"/>
          <w:szCs w:val="24"/>
        </w:rPr>
        <w:t>locate the appropriate operating units or responsible parties to resolve their issues.</w:t>
      </w:r>
      <w:r w:rsidR="00971EAC">
        <w:rPr>
          <w:rFonts w:ascii="Times New Roman" w:hAnsi="Times New Roman" w:cs="Times New Roman"/>
          <w:sz w:val="24"/>
          <w:szCs w:val="24"/>
        </w:rPr>
        <w:t xml:space="preserve"> </w:t>
      </w:r>
    </w:p>
    <w:p w:rsidR="00913B5F" w:rsidRPr="00580C21" w:rsidRDefault="00D52070" w:rsidP="003142B7">
      <w:pPr>
        <w:shd w:val="clear" w:color="auto" w:fill="FFFFFF"/>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Case Advocacy</w:t>
      </w:r>
    </w:p>
    <w:p w:rsidR="003142B7" w:rsidRPr="003142B7" w:rsidRDefault="001411EC" w:rsidP="00AB6CFE">
      <w:pPr>
        <w:shd w:val="clear" w:color="auto" w:fill="FFFFFF"/>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sz w:val="24"/>
          <w:szCs w:val="24"/>
        </w:rPr>
        <w:t>OTA affirmatively advocates for taxpayers through Case A</w:t>
      </w:r>
      <w:r w:rsidR="00913B5F">
        <w:rPr>
          <w:rFonts w:ascii="Times New Roman" w:hAnsi="Times New Roman" w:cs="Times New Roman"/>
          <w:sz w:val="24"/>
          <w:szCs w:val="24"/>
        </w:rPr>
        <w:t>dvocacy</w:t>
      </w:r>
      <w:r>
        <w:rPr>
          <w:rFonts w:ascii="Times New Roman" w:hAnsi="Times New Roman" w:cs="Times New Roman"/>
          <w:sz w:val="24"/>
          <w:szCs w:val="24"/>
        </w:rPr>
        <w:t xml:space="preserve">. </w:t>
      </w:r>
      <w:r w:rsidR="00F277AE">
        <w:rPr>
          <w:rFonts w:ascii="Times New Roman" w:hAnsi="Times New Roman" w:cs="Times New Roman"/>
          <w:sz w:val="24"/>
          <w:szCs w:val="24"/>
        </w:rPr>
        <w:t>OTA will advocate on behalf of any taxpayer</w:t>
      </w:r>
      <w:r w:rsidR="00664F7C">
        <w:rPr>
          <w:rFonts w:ascii="Times New Roman" w:hAnsi="Times New Roman" w:cs="Times New Roman"/>
          <w:sz w:val="24"/>
          <w:szCs w:val="24"/>
        </w:rPr>
        <w:t>s</w:t>
      </w:r>
      <w:r w:rsidR="00F277AE">
        <w:rPr>
          <w:rFonts w:ascii="Times New Roman" w:hAnsi="Times New Roman" w:cs="Times New Roman"/>
          <w:sz w:val="24"/>
          <w:szCs w:val="24"/>
        </w:rPr>
        <w:t xml:space="preserve"> </w:t>
      </w:r>
      <w:r w:rsidR="00E8247D">
        <w:rPr>
          <w:rFonts w:ascii="Times New Roman" w:hAnsi="Times New Roman" w:cs="Times New Roman"/>
          <w:sz w:val="24"/>
          <w:szCs w:val="24"/>
        </w:rPr>
        <w:t xml:space="preserve">who can show that they </w:t>
      </w:r>
      <w:r w:rsidR="0025711E">
        <w:rPr>
          <w:rFonts w:ascii="Times New Roman" w:hAnsi="Times New Roman" w:cs="Times New Roman"/>
          <w:sz w:val="24"/>
          <w:szCs w:val="24"/>
        </w:rPr>
        <w:t>have</w:t>
      </w:r>
      <w:r w:rsidR="00E8247D">
        <w:rPr>
          <w:rFonts w:ascii="Times New Roman" w:hAnsi="Times New Roman" w:cs="Times New Roman"/>
          <w:sz w:val="24"/>
          <w:szCs w:val="24"/>
        </w:rPr>
        <w:t xml:space="preserve"> </w:t>
      </w:r>
      <w:r w:rsidR="003142B7" w:rsidRPr="003142B7">
        <w:rPr>
          <w:rFonts w:ascii="Times New Roman" w:hAnsi="Times New Roman" w:cs="Times New Roman"/>
          <w:sz w:val="24"/>
          <w:szCs w:val="24"/>
        </w:rPr>
        <w:t>attempt</w:t>
      </w:r>
      <w:r w:rsidR="00913B5F">
        <w:rPr>
          <w:rFonts w:ascii="Times New Roman" w:hAnsi="Times New Roman" w:cs="Times New Roman"/>
          <w:sz w:val="24"/>
          <w:szCs w:val="24"/>
        </w:rPr>
        <w:t>ed</w:t>
      </w:r>
      <w:r w:rsidR="003142B7" w:rsidRPr="003142B7">
        <w:rPr>
          <w:rFonts w:ascii="Times New Roman" w:hAnsi="Times New Roman" w:cs="Times New Roman"/>
          <w:sz w:val="24"/>
          <w:szCs w:val="24"/>
        </w:rPr>
        <w:t xml:space="preserve"> to </w:t>
      </w:r>
      <w:r w:rsidR="00913B5F">
        <w:rPr>
          <w:rFonts w:ascii="Times New Roman" w:hAnsi="Times New Roman" w:cs="Times New Roman"/>
          <w:sz w:val="24"/>
          <w:szCs w:val="24"/>
        </w:rPr>
        <w:t>reso</w:t>
      </w:r>
      <w:r w:rsidR="00B37D35">
        <w:rPr>
          <w:rFonts w:ascii="Times New Roman" w:hAnsi="Times New Roman" w:cs="Times New Roman"/>
          <w:sz w:val="24"/>
          <w:szCs w:val="24"/>
        </w:rPr>
        <w:t>lve an issue</w:t>
      </w:r>
      <w:r w:rsidR="004265E9">
        <w:rPr>
          <w:rFonts w:ascii="Times New Roman" w:hAnsi="Times New Roman" w:cs="Times New Roman"/>
          <w:sz w:val="24"/>
          <w:szCs w:val="24"/>
        </w:rPr>
        <w:t xml:space="preserve"> with DOF </w:t>
      </w:r>
      <w:r w:rsidR="0025711E">
        <w:rPr>
          <w:rFonts w:ascii="Times New Roman" w:hAnsi="Times New Roman" w:cs="Times New Roman"/>
          <w:sz w:val="24"/>
          <w:szCs w:val="24"/>
        </w:rPr>
        <w:t>which has not been</w:t>
      </w:r>
      <w:r w:rsidR="004265E9">
        <w:rPr>
          <w:rFonts w:ascii="Times New Roman" w:hAnsi="Times New Roman" w:cs="Times New Roman"/>
          <w:sz w:val="24"/>
          <w:szCs w:val="24"/>
        </w:rPr>
        <w:t xml:space="preserve"> </w:t>
      </w:r>
      <w:r w:rsidR="00913B5F">
        <w:rPr>
          <w:rFonts w:ascii="Times New Roman" w:hAnsi="Times New Roman" w:cs="Times New Roman"/>
          <w:sz w:val="24"/>
          <w:szCs w:val="24"/>
        </w:rPr>
        <w:t>resolved or timely addressed</w:t>
      </w:r>
      <w:r w:rsidR="00F277AE">
        <w:rPr>
          <w:rFonts w:ascii="Times New Roman" w:hAnsi="Times New Roman" w:cs="Times New Roman"/>
          <w:sz w:val="24"/>
          <w:szCs w:val="24"/>
        </w:rPr>
        <w:t>,</w:t>
      </w:r>
      <w:r w:rsidR="00280291">
        <w:rPr>
          <w:rFonts w:ascii="Times New Roman" w:hAnsi="Times New Roman" w:cs="Times New Roman"/>
          <w:sz w:val="24"/>
          <w:szCs w:val="24"/>
        </w:rPr>
        <w:t xml:space="preserve"> </w:t>
      </w:r>
      <w:r w:rsidR="00F277AE">
        <w:rPr>
          <w:rFonts w:ascii="Times New Roman" w:hAnsi="Times New Roman" w:cs="Times New Roman"/>
          <w:sz w:val="24"/>
          <w:szCs w:val="24"/>
        </w:rPr>
        <w:t xml:space="preserve">or that </w:t>
      </w:r>
      <w:r w:rsidR="003142B7" w:rsidRPr="003142B7">
        <w:rPr>
          <w:rFonts w:ascii="Times New Roman" w:hAnsi="Times New Roman" w:cs="Times New Roman"/>
          <w:sz w:val="24"/>
          <w:szCs w:val="24"/>
        </w:rPr>
        <w:t xml:space="preserve">DOF is </w:t>
      </w:r>
      <w:r w:rsidR="0079585B">
        <w:rPr>
          <w:rFonts w:ascii="Times New Roman" w:hAnsi="Times New Roman" w:cs="Times New Roman"/>
          <w:sz w:val="24"/>
          <w:szCs w:val="24"/>
        </w:rPr>
        <w:t xml:space="preserve">unfairly or incorrectly </w:t>
      </w:r>
      <w:r w:rsidR="003142B7" w:rsidRPr="003142B7">
        <w:rPr>
          <w:rFonts w:ascii="Times New Roman" w:hAnsi="Times New Roman" w:cs="Times New Roman"/>
          <w:sz w:val="24"/>
          <w:szCs w:val="24"/>
        </w:rPr>
        <w:t>applying</w:t>
      </w:r>
      <w:r w:rsidR="003142B7" w:rsidRPr="003142B7">
        <w:rPr>
          <w:rFonts w:ascii="Times New Roman" w:eastAsia="Times New Roman" w:hAnsi="Times New Roman" w:cs="Times New Roman"/>
          <w:sz w:val="24"/>
          <w:szCs w:val="24"/>
        </w:rPr>
        <w:t xml:space="preserve"> </w:t>
      </w:r>
      <w:r w:rsidR="00F277AE">
        <w:rPr>
          <w:rFonts w:ascii="Times New Roman" w:eastAsia="Times New Roman" w:hAnsi="Times New Roman" w:cs="Times New Roman"/>
          <w:sz w:val="24"/>
          <w:szCs w:val="24"/>
        </w:rPr>
        <w:t xml:space="preserve">a </w:t>
      </w:r>
      <w:r w:rsidR="003142B7" w:rsidRPr="003142B7">
        <w:rPr>
          <w:rFonts w:ascii="Times New Roman" w:eastAsia="Times New Roman" w:hAnsi="Times New Roman" w:cs="Times New Roman"/>
          <w:sz w:val="24"/>
          <w:szCs w:val="24"/>
        </w:rPr>
        <w:t>law, regulation</w:t>
      </w:r>
      <w:r w:rsidR="00280291">
        <w:rPr>
          <w:rFonts w:ascii="Times New Roman" w:eastAsia="Times New Roman" w:hAnsi="Times New Roman" w:cs="Times New Roman"/>
          <w:sz w:val="24"/>
          <w:szCs w:val="24"/>
        </w:rPr>
        <w:t>,</w:t>
      </w:r>
      <w:r w:rsidR="003142B7" w:rsidRPr="003142B7">
        <w:rPr>
          <w:rFonts w:ascii="Times New Roman" w:eastAsia="Times New Roman" w:hAnsi="Times New Roman" w:cs="Times New Roman"/>
          <w:sz w:val="24"/>
          <w:szCs w:val="24"/>
        </w:rPr>
        <w:t xml:space="preserve"> or polic</w:t>
      </w:r>
      <w:r w:rsidR="00F277AE">
        <w:rPr>
          <w:rFonts w:ascii="Times New Roman" w:eastAsia="Times New Roman" w:hAnsi="Times New Roman" w:cs="Times New Roman"/>
          <w:sz w:val="24"/>
          <w:szCs w:val="24"/>
        </w:rPr>
        <w:t>y</w:t>
      </w:r>
      <w:r w:rsidR="00280291">
        <w:rPr>
          <w:rFonts w:ascii="Times New Roman" w:eastAsia="Times New Roman" w:hAnsi="Times New Roman" w:cs="Times New Roman"/>
          <w:sz w:val="24"/>
          <w:szCs w:val="24"/>
        </w:rPr>
        <w:t xml:space="preserve">. </w:t>
      </w:r>
      <w:r w:rsidR="00F277AE">
        <w:rPr>
          <w:rFonts w:ascii="Times New Roman" w:eastAsia="Times New Roman" w:hAnsi="Times New Roman" w:cs="Times New Roman"/>
          <w:sz w:val="24"/>
          <w:szCs w:val="24"/>
        </w:rPr>
        <w:t xml:space="preserve">OTA will also act on behalf of taxpayers who can show that </w:t>
      </w:r>
      <w:r w:rsidR="00E8247D">
        <w:rPr>
          <w:rFonts w:ascii="Times New Roman" w:eastAsia="Times New Roman" w:hAnsi="Times New Roman" w:cs="Times New Roman"/>
          <w:sz w:val="24"/>
          <w:szCs w:val="24"/>
        </w:rPr>
        <w:t xml:space="preserve">they </w:t>
      </w:r>
      <w:r w:rsidR="003142B7" w:rsidRPr="003142B7">
        <w:rPr>
          <w:rFonts w:ascii="Times New Roman" w:eastAsia="Times New Roman" w:hAnsi="Times New Roman" w:cs="Times New Roman"/>
          <w:sz w:val="24"/>
          <w:szCs w:val="24"/>
        </w:rPr>
        <w:t xml:space="preserve">face immediate </w:t>
      </w:r>
      <w:r w:rsidR="0079585B">
        <w:rPr>
          <w:rFonts w:ascii="Times New Roman" w:eastAsia="Times New Roman" w:hAnsi="Times New Roman" w:cs="Times New Roman"/>
          <w:sz w:val="24"/>
          <w:szCs w:val="24"/>
        </w:rPr>
        <w:t xml:space="preserve">or long-term </w:t>
      </w:r>
      <w:r w:rsidR="003142B7" w:rsidRPr="003142B7">
        <w:rPr>
          <w:rFonts w:ascii="Times New Roman" w:eastAsia="Times New Roman" w:hAnsi="Times New Roman" w:cs="Times New Roman"/>
          <w:sz w:val="24"/>
          <w:szCs w:val="24"/>
        </w:rPr>
        <w:t>harmful action</w:t>
      </w:r>
      <w:r w:rsidR="00D62EA9">
        <w:rPr>
          <w:rFonts w:ascii="Times New Roman" w:eastAsia="Times New Roman" w:hAnsi="Times New Roman" w:cs="Times New Roman"/>
          <w:sz w:val="24"/>
          <w:szCs w:val="24"/>
        </w:rPr>
        <w:t>,</w:t>
      </w:r>
      <w:r w:rsidR="00C24843">
        <w:rPr>
          <w:rFonts w:ascii="Times New Roman" w:eastAsia="Times New Roman" w:hAnsi="Times New Roman" w:cs="Times New Roman"/>
          <w:sz w:val="24"/>
          <w:szCs w:val="24"/>
        </w:rPr>
        <w:t xml:space="preserve"> </w:t>
      </w:r>
      <w:r w:rsidR="00F277AE">
        <w:rPr>
          <w:rFonts w:ascii="Times New Roman" w:eastAsia="Times New Roman" w:hAnsi="Times New Roman" w:cs="Times New Roman"/>
          <w:sz w:val="24"/>
          <w:szCs w:val="24"/>
        </w:rPr>
        <w:t xml:space="preserve">including </w:t>
      </w:r>
      <w:r w:rsidR="0079585B">
        <w:rPr>
          <w:rFonts w:ascii="Times New Roman" w:eastAsia="Times New Roman" w:hAnsi="Times New Roman" w:cs="Times New Roman"/>
          <w:sz w:val="24"/>
          <w:szCs w:val="24"/>
        </w:rPr>
        <w:t xml:space="preserve">the </w:t>
      </w:r>
      <w:r w:rsidR="0025711E">
        <w:rPr>
          <w:rFonts w:ascii="Times New Roman" w:eastAsia="Times New Roman" w:hAnsi="Times New Roman" w:cs="Times New Roman"/>
          <w:sz w:val="24"/>
          <w:szCs w:val="24"/>
        </w:rPr>
        <w:t xml:space="preserve">immediate </w:t>
      </w:r>
      <w:r w:rsidR="003142B7" w:rsidRPr="003142B7">
        <w:rPr>
          <w:rFonts w:ascii="Times New Roman" w:eastAsia="Times New Roman" w:hAnsi="Times New Roman" w:cs="Times New Roman"/>
          <w:sz w:val="24"/>
          <w:szCs w:val="24"/>
        </w:rPr>
        <w:t xml:space="preserve">seizure of funds or </w:t>
      </w:r>
      <w:r w:rsidR="00F277AE">
        <w:rPr>
          <w:rFonts w:ascii="Times New Roman" w:eastAsia="Times New Roman" w:hAnsi="Times New Roman" w:cs="Times New Roman"/>
          <w:sz w:val="24"/>
          <w:szCs w:val="24"/>
        </w:rPr>
        <w:t xml:space="preserve">other </w:t>
      </w:r>
      <w:r w:rsidR="003142B7" w:rsidRPr="003142B7">
        <w:rPr>
          <w:rFonts w:ascii="Times New Roman" w:eastAsia="Times New Roman" w:hAnsi="Times New Roman" w:cs="Times New Roman"/>
          <w:sz w:val="24"/>
          <w:szCs w:val="24"/>
        </w:rPr>
        <w:t>property</w:t>
      </w:r>
      <w:r w:rsidR="00971EAC">
        <w:rPr>
          <w:rFonts w:ascii="Times New Roman" w:eastAsia="Times New Roman" w:hAnsi="Times New Roman" w:cs="Times New Roman"/>
          <w:sz w:val="24"/>
          <w:szCs w:val="24"/>
        </w:rPr>
        <w:t xml:space="preserve">. </w:t>
      </w:r>
      <w:r w:rsidR="00C24843">
        <w:rPr>
          <w:rFonts w:ascii="Times New Roman" w:eastAsia="Times New Roman" w:hAnsi="Times New Roman" w:cs="Times New Roman"/>
          <w:sz w:val="24"/>
          <w:szCs w:val="24"/>
        </w:rPr>
        <w:t>OTA also handles cases where the</w:t>
      </w:r>
      <w:r w:rsidR="0025711E">
        <w:rPr>
          <w:rFonts w:ascii="Times New Roman" w:eastAsia="Times New Roman" w:hAnsi="Times New Roman" w:cs="Times New Roman"/>
          <w:sz w:val="24"/>
          <w:szCs w:val="24"/>
        </w:rPr>
        <w:t xml:space="preserve"> underlying issues presented affect multiple </w:t>
      </w:r>
      <w:r w:rsidR="0025711E">
        <w:rPr>
          <w:rFonts w:ascii="Times New Roman" w:eastAsia="Times New Roman" w:hAnsi="Times New Roman" w:cs="Times New Roman"/>
          <w:sz w:val="24"/>
          <w:szCs w:val="24"/>
        </w:rPr>
        <w:lastRenderedPageBreak/>
        <w:t>taxpayers</w:t>
      </w:r>
      <w:r w:rsidR="00AB6CFE">
        <w:rPr>
          <w:rFonts w:ascii="Times New Roman" w:eastAsia="Times New Roman" w:hAnsi="Times New Roman" w:cs="Times New Roman"/>
          <w:sz w:val="24"/>
          <w:szCs w:val="24"/>
        </w:rPr>
        <w:t xml:space="preserve">, or </w:t>
      </w:r>
      <w:r w:rsidR="00971EAC">
        <w:rPr>
          <w:rFonts w:ascii="Times New Roman" w:eastAsia="Times New Roman" w:hAnsi="Times New Roman" w:cs="Times New Roman"/>
          <w:sz w:val="24"/>
          <w:szCs w:val="24"/>
        </w:rPr>
        <w:t>present</w:t>
      </w:r>
      <w:r w:rsidR="0025711E">
        <w:rPr>
          <w:rFonts w:ascii="Times New Roman" w:eastAsia="Times New Roman" w:hAnsi="Times New Roman" w:cs="Times New Roman"/>
          <w:sz w:val="24"/>
          <w:szCs w:val="24"/>
        </w:rPr>
        <w:t xml:space="preserve"> unique issues or </w:t>
      </w:r>
      <w:r w:rsidR="00664F7C">
        <w:rPr>
          <w:rFonts w:ascii="Times New Roman" w:eastAsia="Times New Roman" w:hAnsi="Times New Roman" w:cs="Times New Roman"/>
          <w:sz w:val="24"/>
          <w:szCs w:val="24"/>
        </w:rPr>
        <w:t>raise</w:t>
      </w:r>
      <w:r w:rsidR="00AB6CFE">
        <w:rPr>
          <w:rFonts w:ascii="Times New Roman" w:eastAsia="Times New Roman" w:hAnsi="Times New Roman" w:cs="Times New Roman"/>
          <w:sz w:val="24"/>
          <w:szCs w:val="24"/>
        </w:rPr>
        <w:t xml:space="preserve"> </w:t>
      </w:r>
      <w:r w:rsidR="0025711E">
        <w:rPr>
          <w:rFonts w:ascii="Times New Roman" w:eastAsia="Times New Roman" w:hAnsi="Times New Roman" w:cs="Times New Roman"/>
          <w:sz w:val="24"/>
          <w:szCs w:val="24"/>
        </w:rPr>
        <w:t xml:space="preserve">compelling public policy </w:t>
      </w:r>
      <w:r w:rsidR="00C24843">
        <w:rPr>
          <w:rFonts w:ascii="Times New Roman" w:eastAsia="Times New Roman" w:hAnsi="Times New Roman" w:cs="Times New Roman"/>
          <w:sz w:val="24"/>
          <w:szCs w:val="24"/>
        </w:rPr>
        <w:t>issue</w:t>
      </w:r>
      <w:r w:rsidR="00AB6CFE">
        <w:rPr>
          <w:rFonts w:ascii="Times New Roman" w:eastAsia="Times New Roman" w:hAnsi="Times New Roman" w:cs="Times New Roman"/>
          <w:sz w:val="24"/>
          <w:szCs w:val="24"/>
        </w:rPr>
        <w:t>s.</w:t>
      </w:r>
      <w:r w:rsidR="00971EAC">
        <w:rPr>
          <w:rFonts w:ascii="Times New Roman" w:eastAsia="Times New Roman" w:hAnsi="Times New Roman" w:cs="Times New Roman"/>
          <w:sz w:val="24"/>
          <w:szCs w:val="24"/>
        </w:rPr>
        <w:t xml:space="preserve"> </w:t>
      </w:r>
      <w:r w:rsidR="003142B7" w:rsidRPr="003142B7">
        <w:rPr>
          <w:rFonts w:ascii="Times New Roman" w:eastAsia="Times New Roman" w:hAnsi="Times New Roman" w:cs="Times New Roman"/>
          <w:sz w:val="24"/>
          <w:szCs w:val="24"/>
        </w:rPr>
        <w:t>The average time during the past year for OTA to investigate, advocate, and resolve</w:t>
      </w:r>
      <w:r w:rsidR="003142B7" w:rsidRPr="003142B7">
        <w:rPr>
          <w:rStyle w:val="FootnoteReference"/>
          <w:rFonts w:ascii="Times New Roman" w:eastAsia="Times New Roman" w:hAnsi="Times New Roman" w:cs="Times New Roman"/>
          <w:sz w:val="24"/>
          <w:szCs w:val="24"/>
        </w:rPr>
        <w:footnoteReference w:id="4"/>
      </w:r>
      <w:r w:rsidR="003142B7" w:rsidRPr="003142B7">
        <w:rPr>
          <w:rFonts w:ascii="Times New Roman" w:eastAsia="Times New Roman" w:hAnsi="Times New Roman" w:cs="Times New Roman"/>
          <w:sz w:val="24"/>
          <w:szCs w:val="24"/>
        </w:rPr>
        <w:t xml:space="preserve"> a case was </w:t>
      </w:r>
      <w:r w:rsidR="003C10D5" w:rsidRPr="003C10D5">
        <w:rPr>
          <w:rFonts w:ascii="Times New Roman" w:eastAsia="Times New Roman" w:hAnsi="Times New Roman" w:cs="Times New Roman"/>
          <w:sz w:val="24"/>
          <w:szCs w:val="24"/>
        </w:rPr>
        <w:t>5</w:t>
      </w:r>
      <w:r w:rsidR="00627B5C">
        <w:rPr>
          <w:rFonts w:ascii="Times New Roman" w:eastAsia="Times New Roman" w:hAnsi="Times New Roman" w:cs="Times New Roman"/>
          <w:sz w:val="24"/>
          <w:szCs w:val="24"/>
        </w:rPr>
        <w:t>3</w:t>
      </w:r>
      <w:r w:rsidR="003142B7" w:rsidRPr="003142B7">
        <w:rPr>
          <w:rFonts w:ascii="Times New Roman" w:eastAsia="Times New Roman" w:hAnsi="Times New Roman" w:cs="Times New Roman"/>
          <w:sz w:val="24"/>
          <w:szCs w:val="24"/>
        </w:rPr>
        <w:t xml:space="preserve"> days.</w:t>
      </w:r>
    </w:p>
    <w:p w:rsidR="003142B7" w:rsidRPr="003142B7" w:rsidRDefault="003142B7" w:rsidP="003142B7">
      <w:pPr>
        <w:shd w:val="clear" w:color="auto" w:fill="FFFFFF"/>
        <w:spacing w:before="100" w:beforeAutospacing="1" w:after="100" w:afterAutospacing="1"/>
        <w:rPr>
          <w:rFonts w:ascii="Times New Roman" w:eastAsia="Times New Roman" w:hAnsi="Times New Roman" w:cs="Times New Roman"/>
          <w:sz w:val="24"/>
          <w:szCs w:val="24"/>
        </w:rPr>
      </w:pPr>
      <w:r w:rsidRPr="003142B7">
        <w:rPr>
          <w:rFonts w:ascii="Times New Roman" w:eastAsia="Times New Roman" w:hAnsi="Times New Roman" w:cs="Times New Roman"/>
          <w:sz w:val="24"/>
          <w:szCs w:val="24"/>
        </w:rPr>
        <w:t>Cases and inquiries come to OTA through the following channels:</w:t>
      </w:r>
    </w:p>
    <w:p w:rsidR="003142B7" w:rsidRPr="003142B7" w:rsidRDefault="003142B7" w:rsidP="003142B7">
      <w:pPr>
        <w:pStyle w:val="ListParagraph"/>
        <w:numPr>
          <w:ilvl w:val="0"/>
          <w:numId w:val="9"/>
        </w:numPr>
        <w:shd w:val="clear" w:color="auto" w:fill="FFFFFF"/>
        <w:spacing w:before="100" w:beforeAutospacing="1" w:after="100" w:afterAutospacing="1"/>
        <w:rPr>
          <w:rFonts w:ascii="Times New Roman" w:eastAsia="Times New Roman" w:hAnsi="Times New Roman" w:cs="Times New Roman"/>
          <w:sz w:val="24"/>
          <w:szCs w:val="24"/>
        </w:rPr>
      </w:pPr>
      <w:r w:rsidRPr="003142B7">
        <w:rPr>
          <w:rFonts w:ascii="Times New Roman" w:eastAsia="Times New Roman" w:hAnsi="Times New Roman" w:cs="Times New Roman"/>
          <w:sz w:val="24"/>
          <w:szCs w:val="24"/>
        </w:rPr>
        <w:t>OTA website</w:t>
      </w:r>
    </w:p>
    <w:p w:rsidR="003142B7" w:rsidRPr="003142B7" w:rsidRDefault="003142B7" w:rsidP="003142B7">
      <w:pPr>
        <w:pStyle w:val="ListParagraph"/>
        <w:numPr>
          <w:ilvl w:val="0"/>
          <w:numId w:val="9"/>
        </w:numPr>
        <w:shd w:val="clear" w:color="auto" w:fill="FFFFFF"/>
        <w:spacing w:before="100" w:beforeAutospacing="1" w:after="100" w:afterAutospacing="1"/>
        <w:rPr>
          <w:rFonts w:ascii="Times New Roman" w:eastAsia="Times New Roman" w:hAnsi="Times New Roman" w:cs="Times New Roman"/>
          <w:sz w:val="24"/>
          <w:szCs w:val="24"/>
        </w:rPr>
      </w:pPr>
      <w:r w:rsidRPr="003142B7">
        <w:rPr>
          <w:rFonts w:ascii="Times New Roman" w:eastAsia="Times New Roman" w:hAnsi="Times New Roman" w:cs="Times New Roman"/>
          <w:sz w:val="24"/>
          <w:szCs w:val="24"/>
        </w:rPr>
        <w:t>Service requests through 311</w:t>
      </w:r>
    </w:p>
    <w:p w:rsidR="003142B7" w:rsidRPr="003142B7" w:rsidRDefault="003142B7" w:rsidP="003142B7">
      <w:pPr>
        <w:pStyle w:val="ListParagraph"/>
        <w:numPr>
          <w:ilvl w:val="0"/>
          <w:numId w:val="9"/>
        </w:numPr>
        <w:shd w:val="clear" w:color="auto" w:fill="FFFFFF"/>
        <w:spacing w:before="100" w:beforeAutospacing="1" w:after="100" w:afterAutospacing="1"/>
        <w:rPr>
          <w:rFonts w:ascii="Times New Roman" w:eastAsia="Times New Roman" w:hAnsi="Times New Roman" w:cs="Times New Roman"/>
          <w:sz w:val="24"/>
          <w:szCs w:val="24"/>
        </w:rPr>
      </w:pPr>
      <w:r w:rsidRPr="003142B7">
        <w:rPr>
          <w:rFonts w:ascii="Times New Roman" w:eastAsia="Times New Roman" w:hAnsi="Times New Roman" w:cs="Times New Roman"/>
          <w:sz w:val="24"/>
          <w:szCs w:val="24"/>
        </w:rPr>
        <w:t>Telephone calls and messages</w:t>
      </w:r>
      <w:r w:rsidR="00664F7C">
        <w:rPr>
          <w:rFonts w:ascii="Times New Roman" w:eastAsia="Times New Roman" w:hAnsi="Times New Roman" w:cs="Times New Roman"/>
          <w:sz w:val="24"/>
          <w:szCs w:val="24"/>
        </w:rPr>
        <w:t xml:space="preserve"> to OTA</w:t>
      </w:r>
    </w:p>
    <w:p w:rsidR="003142B7" w:rsidRPr="003142B7" w:rsidRDefault="003142B7" w:rsidP="003142B7">
      <w:pPr>
        <w:pStyle w:val="ListParagraph"/>
        <w:numPr>
          <w:ilvl w:val="0"/>
          <w:numId w:val="9"/>
        </w:numPr>
        <w:shd w:val="clear" w:color="auto" w:fill="FFFFFF"/>
        <w:spacing w:before="100" w:beforeAutospacing="1" w:after="100" w:afterAutospacing="1"/>
        <w:rPr>
          <w:rFonts w:ascii="Times New Roman" w:eastAsia="Times New Roman" w:hAnsi="Times New Roman" w:cs="Times New Roman"/>
          <w:sz w:val="24"/>
          <w:szCs w:val="24"/>
        </w:rPr>
      </w:pPr>
      <w:r w:rsidRPr="003142B7">
        <w:rPr>
          <w:rFonts w:ascii="Times New Roman" w:eastAsia="Times New Roman" w:hAnsi="Times New Roman" w:cs="Times New Roman"/>
          <w:sz w:val="24"/>
          <w:szCs w:val="24"/>
        </w:rPr>
        <w:t>Emails</w:t>
      </w:r>
    </w:p>
    <w:p w:rsidR="003142B7" w:rsidRPr="003142B7" w:rsidRDefault="003142B7" w:rsidP="003142B7">
      <w:pPr>
        <w:pStyle w:val="ListParagraph"/>
        <w:numPr>
          <w:ilvl w:val="0"/>
          <w:numId w:val="9"/>
        </w:numPr>
        <w:shd w:val="clear" w:color="auto" w:fill="FFFFFF"/>
        <w:spacing w:before="100" w:beforeAutospacing="1" w:after="100" w:afterAutospacing="1"/>
        <w:rPr>
          <w:rFonts w:ascii="Times New Roman" w:eastAsia="Times New Roman" w:hAnsi="Times New Roman" w:cs="Times New Roman"/>
          <w:sz w:val="24"/>
          <w:szCs w:val="24"/>
        </w:rPr>
      </w:pPr>
      <w:r w:rsidRPr="003142B7">
        <w:rPr>
          <w:rFonts w:ascii="Times New Roman" w:eastAsia="Times New Roman" w:hAnsi="Times New Roman" w:cs="Times New Roman"/>
          <w:sz w:val="24"/>
          <w:szCs w:val="24"/>
        </w:rPr>
        <w:t>Submissions of Form DOF-911</w:t>
      </w:r>
    </w:p>
    <w:p w:rsidR="003142B7" w:rsidRPr="003142B7" w:rsidRDefault="003142B7" w:rsidP="003142B7">
      <w:pPr>
        <w:pStyle w:val="ListParagraph"/>
        <w:numPr>
          <w:ilvl w:val="0"/>
          <w:numId w:val="9"/>
        </w:numPr>
        <w:shd w:val="clear" w:color="auto" w:fill="FFFFFF"/>
        <w:spacing w:before="100" w:beforeAutospacing="1" w:after="100" w:afterAutospacing="1"/>
        <w:rPr>
          <w:rFonts w:ascii="Times New Roman" w:eastAsia="Times New Roman" w:hAnsi="Times New Roman" w:cs="Times New Roman"/>
          <w:sz w:val="24"/>
          <w:szCs w:val="24"/>
        </w:rPr>
      </w:pPr>
      <w:r w:rsidRPr="003142B7">
        <w:rPr>
          <w:rFonts w:ascii="Times New Roman" w:eastAsia="Times New Roman" w:hAnsi="Times New Roman" w:cs="Times New Roman"/>
          <w:sz w:val="24"/>
          <w:szCs w:val="24"/>
        </w:rPr>
        <w:t>Walk-ins at the OTA office at 253 Broadway, 6th floor, New York, NY</w:t>
      </w:r>
    </w:p>
    <w:p w:rsidR="003142B7" w:rsidRPr="003142B7" w:rsidRDefault="003142B7" w:rsidP="003142B7">
      <w:pPr>
        <w:pStyle w:val="ListParagraph"/>
        <w:numPr>
          <w:ilvl w:val="0"/>
          <w:numId w:val="9"/>
        </w:numPr>
        <w:shd w:val="clear" w:color="auto" w:fill="FFFFFF"/>
        <w:spacing w:before="100" w:beforeAutospacing="1" w:after="100" w:afterAutospacing="1"/>
        <w:rPr>
          <w:rFonts w:ascii="Times New Roman" w:eastAsia="Times New Roman" w:hAnsi="Times New Roman" w:cs="Times New Roman"/>
          <w:sz w:val="24"/>
          <w:szCs w:val="24"/>
        </w:rPr>
      </w:pPr>
      <w:r w:rsidRPr="003142B7">
        <w:rPr>
          <w:rFonts w:ascii="Times New Roman" w:eastAsia="Times New Roman" w:hAnsi="Times New Roman" w:cs="Times New Roman"/>
          <w:sz w:val="24"/>
          <w:szCs w:val="24"/>
        </w:rPr>
        <w:t>Faxes</w:t>
      </w:r>
    </w:p>
    <w:p w:rsidR="003142B7" w:rsidRPr="003142B7" w:rsidRDefault="003142B7" w:rsidP="003142B7">
      <w:pPr>
        <w:pStyle w:val="ListParagraph"/>
        <w:numPr>
          <w:ilvl w:val="0"/>
          <w:numId w:val="9"/>
        </w:numPr>
        <w:shd w:val="clear" w:color="auto" w:fill="FFFFFF"/>
        <w:spacing w:before="100" w:beforeAutospacing="1" w:after="100" w:afterAutospacing="1"/>
        <w:rPr>
          <w:rFonts w:ascii="Times New Roman" w:eastAsia="Times New Roman" w:hAnsi="Times New Roman" w:cs="Times New Roman"/>
          <w:sz w:val="24"/>
          <w:szCs w:val="24"/>
        </w:rPr>
      </w:pPr>
      <w:r w:rsidRPr="003142B7">
        <w:rPr>
          <w:rFonts w:ascii="Times New Roman" w:eastAsia="Times New Roman" w:hAnsi="Times New Roman" w:cs="Times New Roman"/>
          <w:sz w:val="24"/>
          <w:szCs w:val="24"/>
        </w:rPr>
        <w:t>Referrals from City Council Members or other areas of DOF</w:t>
      </w:r>
    </w:p>
    <w:p w:rsidR="003142B7" w:rsidRPr="003142B7" w:rsidRDefault="003142B7" w:rsidP="003142B7">
      <w:pPr>
        <w:pStyle w:val="ListParagraph"/>
        <w:numPr>
          <w:ilvl w:val="0"/>
          <w:numId w:val="9"/>
        </w:numPr>
        <w:shd w:val="clear" w:color="auto" w:fill="FFFFFF"/>
        <w:spacing w:before="100" w:beforeAutospacing="1" w:after="100" w:afterAutospacing="1"/>
        <w:rPr>
          <w:rFonts w:ascii="Times New Roman" w:eastAsia="Times New Roman" w:hAnsi="Times New Roman" w:cs="Times New Roman"/>
          <w:sz w:val="24"/>
          <w:szCs w:val="24"/>
        </w:rPr>
      </w:pPr>
      <w:r w:rsidRPr="003142B7">
        <w:rPr>
          <w:rFonts w:ascii="Times New Roman" w:eastAsia="Times New Roman" w:hAnsi="Times New Roman" w:cs="Times New Roman"/>
          <w:sz w:val="24"/>
          <w:szCs w:val="24"/>
        </w:rPr>
        <w:t>Letters</w:t>
      </w:r>
    </w:p>
    <w:p w:rsidR="006E39BF" w:rsidRDefault="006E39BF" w:rsidP="006E39BF">
      <w:pPr>
        <w:shd w:val="clear" w:color="auto" w:fill="FFFFFF"/>
        <w:spacing w:before="100" w:beforeAutospacing="1" w:after="100" w:afterAutospacing="1"/>
        <w:rPr>
          <w:rFonts w:ascii="Times New Roman" w:eastAsia="Times New Roman" w:hAnsi="Times New Roman" w:cs="Times New Roman"/>
          <w:sz w:val="24"/>
          <w:szCs w:val="24"/>
        </w:rPr>
      </w:pPr>
      <w:r w:rsidRPr="003142B7">
        <w:rPr>
          <w:rFonts w:ascii="Times New Roman" w:eastAsia="Times New Roman" w:hAnsi="Times New Roman" w:cs="Times New Roman"/>
          <w:sz w:val="24"/>
          <w:szCs w:val="24"/>
        </w:rPr>
        <w:t>OTA</w:t>
      </w:r>
      <w:r w:rsidR="00280291">
        <w:rPr>
          <w:rFonts w:ascii="Times New Roman" w:eastAsia="Times New Roman" w:hAnsi="Times New Roman" w:cs="Times New Roman"/>
          <w:sz w:val="24"/>
          <w:szCs w:val="24"/>
        </w:rPr>
        <w:t xml:space="preserve"> works closely with DOF’s core operating units</w:t>
      </w:r>
      <w:r w:rsidR="001411EC">
        <w:rPr>
          <w:rFonts w:ascii="Times New Roman" w:eastAsia="Times New Roman" w:hAnsi="Times New Roman" w:cs="Times New Roman"/>
          <w:sz w:val="24"/>
          <w:szCs w:val="24"/>
        </w:rPr>
        <w:t xml:space="preserve"> including </w:t>
      </w:r>
      <w:r>
        <w:rPr>
          <w:rFonts w:ascii="Times New Roman" w:eastAsia="Times New Roman" w:hAnsi="Times New Roman" w:cs="Times New Roman"/>
          <w:sz w:val="24"/>
          <w:szCs w:val="24"/>
        </w:rPr>
        <w:t xml:space="preserve">Tax </w:t>
      </w:r>
      <w:r w:rsidRPr="003142B7">
        <w:rPr>
          <w:rFonts w:ascii="Times New Roman" w:eastAsia="Times New Roman" w:hAnsi="Times New Roman" w:cs="Times New Roman"/>
          <w:sz w:val="24"/>
          <w:szCs w:val="24"/>
        </w:rPr>
        <w:t xml:space="preserve">Audit and Enforcement, </w:t>
      </w:r>
      <w:r w:rsidRPr="003142B7">
        <w:rPr>
          <w:rFonts w:ascii="Times New Roman" w:hAnsi="Times New Roman"/>
          <w:sz w:val="24"/>
          <w:szCs w:val="24"/>
        </w:rPr>
        <w:t>Collections, Payment Operations,</w:t>
      </w:r>
      <w:r w:rsidRPr="003142B7">
        <w:rPr>
          <w:rFonts w:ascii="Times New Roman" w:eastAsia="Times New Roman" w:hAnsi="Times New Roman" w:cs="Times New Roman"/>
          <w:sz w:val="24"/>
          <w:szCs w:val="24"/>
        </w:rPr>
        <w:t xml:space="preserve"> Property, External Affairs, and the Legal Division. OTA</w:t>
      </w:r>
      <w:r>
        <w:rPr>
          <w:rFonts w:ascii="Times New Roman" w:eastAsia="Times New Roman" w:hAnsi="Times New Roman" w:cs="Times New Roman"/>
          <w:sz w:val="24"/>
          <w:szCs w:val="24"/>
        </w:rPr>
        <w:t xml:space="preserve"> </w:t>
      </w:r>
      <w:r w:rsidR="00F277AE">
        <w:rPr>
          <w:rFonts w:ascii="Times New Roman" w:eastAsia="Times New Roman" w:hAnsi="Times New Roman" w:cs="Times New Roman"/>
          <w:sz w:val="24"/>
          <w:szCs w:val="24"/>
        </w:rPr>
        <w:t xml:space="preserve">acts through informal and formal </w:t>
      </w:r>
      <w:r w:rsidRPr="003142B7">
        <w:rPr>
          <w:rFonts w:ascii="Times New Roman" w:eastAsia="Times New Roman" w:hAnsi="Times New Roman" w:cs="Times New Roman"/>
          <w:sz w:val="24"/>
          <w:szCs w:val="24"/>
        </w:rPr>
        <w:t>request</w:t>
      </w:r>
      <w:r>
        <w:rPr>
          <w:rFonts w:ascii="Times New Roman" w:eastAsia="Times New Roman" w:hAnsi="Times New Roman" w:cs="Times New Roman"/>
          <w:sz w:val="24"/>
          <w:szCs w:val="24"/>
        </w:rPr>
        <w:t xml:space="preserve">s for </w:t>
      </w:r>
      <w:r w:rsidRPr="003142B7">
        <w:rPr>
          <w:rFonts w:ascii="Times New Roman" w:eastAsia="Times New Roman" w:hAnsi="Times New Roman" w:cs="Times New Roman"/>
          <w:sz w:val="24"/>
          <w:szCs w:val="24"/>
        </w:rPr>
        <w:t xml:space="preserve">information </w:t>
      </w:r>
      <w:r>
        <w:rPr>
          <w:rFonts w:ascii="Times New Roman" w:eastAsia="Times New Roman" w:hAnsi="Times New Roman" w:cs="Times New Roman"/>
          <w:sz w:val="24"/>
          <w:szCs w:val="24"/>
        </w:rPr>
        <w:t>to the</w:t>
      </w:r>
      <w:r w:rsidR="00F277AE">
        <w:rPr>
          <w:rFonts w:ascii="Times New Roman" w:eastAsia="Times New Roman" w:hAnsi="Times New Roman" w:cs="Times New Roman"/>
          <w:sz w:val="24"/>
          <w:szCs w:val="24"/>
        </w:rPr>
        <w:t xml:space="preserve">se operating units. </w:t>
      </w:r>
      <w:r>
        <w:rPr>
          <w:rFonts w:ascii="Times New Roman" w:eastAsia="Times New Roman" w:hAnsi="Times New Roman" w:cs="Times New Roman"/>
          <w:sz w:val="24"/>
          <w:szCs w:val="24"/>
        </w:rPr>
        <w:t xml:space="preserve">Where </w:t>
      </w:r>
      <w:r w:rsidR="00280291">
        <w:rPr>
          <w:rFonts w:ascii="Times New Roman" w:eastAsia="Times New Roman" w:hAnsi="Times New Roman" w:cs="Times New Roman"/>
          <w:sz w:val="24"/>
          <w:szCs w:val="24"/>
        </w:rPr>
        <w:t>OTA’s</w:t>
      </w:r>
      <w:r w:rsidRPr="003142B7">
        <w:rPr>
          <w:rFonts w:ascii="Times New Roman" w:eastAsia="Times New Roman" w:hAnsi="Times New Roman" w:cs="Times New Roman"/>
          <w:sz w:val="24"/>
          <w:szCs w:val="24"/>
        </w:rPr>
        <w:t xml:space="preserve"> informal requests are not </w:t>
      </w:r>
      <w:r>
        <w:rPr>
          <w:rFonts w:ascii="Times New Roman" w:eastAsia="Times New Roman" w:hAnsi="Times New Roman" w:cs="Times New Roman"/>
          <w:sz w:val="24"/>
          <w:szCs w:val="24"/>
        </w:rPr>
        <w:t xml:space="preserve">responded to in a </w:t>
      </w:r>
      <w:r w:rsidR="00D52070">
        <w:rPr>
          <w:rFonts w:ascii="Times New Roman" w:eastAsia="Times New Roman" w:hAnsi="Times New Roman" w:cs="Times New Roman"/>
          <w:sz w:val="24"/>
          <w:szCs w:val="24"/>
        </w:rPr>
        <w:t>timely fashion</w:t>
      </w:r>
      <w:r>
        <w:rPr>
          <w:rFonts w:ascii="Times New Roman" w:eastAsia="Times New Roman" w:hAnsi="Times New Roman" w:cs="Times New Roman"/>
          <w:sz w:val="24"/>
          <w:szCs w:val="24"/>
        </w:rPr>
        <w:t xml:space="preserve"> or are insufficient to resolve a taxpayer issue, </w:t>
      </w:r>
      <w:r w:rsidRPr="003142B7">
        <w:rPr>
          <w:rFonts w:ascii="Times New Roman" w:eastAsia="Times New Roman" w:hAnsi="Times New Roman" w:cs="Times New Roman"/>
          <w:sz w:val="24"/>
          <w:szCs w:val="24"/>
        </w:rPr>
        <w:t>OTA</w:t>
      </w:r>
      <w:r w:rsidR="00280291">
        <w:rPr>
          <w:rFonts w:ascii="Times New Roman" w:eastAsia="Times New Roman" w:hAnsi="Times New Roman" w:cs="Times New Roman"/>
          <w:sz w:val="24"/>
          <w:szCs w:val="24"/>
        </w:rPr>
        <w:t xml:space="preserve"> </w:t>
      </w:r>
      <w:r w:rsidR="00BE546D">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sidRPr="003142B7">
        <w:rPr>
          <w:rFonts w:ascii="Times New Roman" w:eastAsia="Times New Roman" w:hAnsi="Times New Roman" w:cs="Times New Roman"/>
          <w:sz w:val="24"/>
          <w:szCs w:val="24"/>
        </w:rPr>
        <w:t>submit a formal Operations Assistance Request (</w:t>
      </w:r>
      <w:r>
        <w:rPr>
          <w:rFonts w:ascii="Times New Roman" w:eastAsia="Times New Roman" w:hAnsi="Times New Roman" w:cs="Times New Roman"/>
          <w:sz w:val="24"/>
          <w:szCs w:val="24"/>
        </w:rPr>
        <w:t>“</w:t>
      </w:r>
      <w:r w:rsidRPr="003142B7">
        <w:rPr>
          <w:rFonts w:ascii="Times New Roman" w:eastAsia="Times New Roman" w:hAnsi="Times New Roman" w:cs="Times New Roman"/>
          <w:sz w:val="24"/>
          <w:szCs w:val="24"/>
        </w:rPr>
        <w:t>OAR</w:t>
      </w:r>
      <w:r>
        <w:rPr>
          <w:rFonts w:ascii="Times New Roman" w:eastAsia="Times New Roman" w:hAnsi="Times New Roman" w:cs="Times New Roman"/>
          <w:sz w:val="24"/>
          <w:szCs w:val="24"/>
        </w:rPr>
        <w:t>”</w:t>
      </w:r>
      <w:r w:rsidRPr="003142B7">
        <w:rPr>
          <w:rFonts w:ascii="Times New Roman" w:eastAsia="Times New Roman" w:hAnsi="Times New Roman" w:cs="Times New Roman"/>
          <w:sz w:val="24"/>
          <w:szCs w:val="24"/>
        </w:rPr>
        <w:t xml:space="preserve">) </w:t>
      </w:r>
      <w:r w:rsidR="00280291">
        <w:rPr>
          <w:rFonts w:ascii="Times New Roman" w:eastAsia="Times New Roman" w:hAnsi="Times New Roman" w:cs="Times New Roman"/>
          <w:sz w:val="24"/>
          <w:szCs w:val="24"/>
        </w:rPr>
        <w:t>and impose</w:t>
      </w:r>
      <w:r>
        <w:rPr>
          <w:rFonts w:ascii="Times New Roman" w:eastAsia="Times New Roman" w:hAnsi="Times New Roman" w:cs="Times New Roman"/>
          <w:sz w:val="24"/>
          <w:szCs w:val="24"/>
        </w:rPr>
        <w:t xml:space="preserve"> a deadline for a response. </w:t>
      </w:r>
      <w:r w:rsidRPr="003142B7">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 xml:space="preserve">the </w:t>
      </w:r>
      <w:r w:rsidR="00BE546D">
        <w:rPr>
          <w:rFonts w:ascii="Times New Roman" w:eastAsia="Times New Roman" w:hAnsi="Times New Roman" w:cs="Times New Roman"/>
          <w:sz w:val="24"/>
          <w:szCs w:val="24"/>
        </w:rPr>
        <w:t xml:space="preserve">operating </w:t>
      </w:r>
      <w:r w:rsidRPr="003142B7">
        <w:rPr>
          <w:rFonts w:ascii="Times New Roman" w:eastAsia="Times New Roman" w:hAnsi="Times New Roman" w:cs="Times New Roman"/>
          <w:sz w:val="24"/>
          <w:szCs w:val="24"/>
        </w:rPr>
        <w:t>unit</w:t>
      </w:r>
      <w:r w:rsidR="00280291">
        <w:rPr>
          <w:rFonts w:ascii="Times New Roman" w:eastAsia="Times New Roman" w:hAnsi="Times New Roman" w:cs="Times New Roman"/>
          <w:sz w:val="24"/>
          <w:szCs w:val="24"/>
        </w:rPr>
        <w:t xml:space="preserve"> </w:t>
      </w:r>
      <w:r w:rsidR="00664F7C">
        <w:rPr>
          <w:rFonts w:ascii="Times New Roman" w:eastAsia="Times New Roman" w:hAnsi="Times New Roman" w:cs="Times New Roman"/>
          <w:sz w:val="24"/>
          <w:szCs w:val="24"/>
        </w:rPr>
        <w:t>does not</w:t>
      </w:r>
      <w:r w:rsidRPr="003142B7">
        <w:rPr>
          <w:rFonts w:ascii="Times New Roman" w:eastAsia="Times New Roman" w:hAnsi="Times New Roman" w:cs="Times New Roman"/>
          <w:sz w:val="24"/>
          <w:szCs w:val="24"/>
        </w:rPr>
        <w:t xml:space="preserve"> take action</w:t>
      </w:r>
      <w:r>
        <w:rPr>
          <w:rFonts w:ascii="Times New Roman" w:eastAsia="Times New Roman" w:hAnsi="Times New Roman" w:cs="Times New Roman"/>
          <w:sz w:val="24"/>
          <w:szCs w:val="24"/>
        </w:rPr>
        <w:t xml:space="preserve">, OTA </w:t>
      </w:r>
      <w:r w:rsidR="00BE546D">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 xml:space="preserve">submit a </w:t>
      </w:r>
      <w:r w:rsidRPr="003142B7">
        <w:rPr>
          <w:rFonts w:ascii="Times New Roman" w:eastAsia="Times New Roman" w:hAnsi="Times New Roman" w:cs="Times New Roman"/>
          <w:sz w:val="24"/>
          <w:szCs w:val="24"/>
        </w:rPr>
        <w:t>Taxpayer Assistance Order (</w:t>
      </w:r>
      <w:r>
        <w:rPr>
          <w:rFonts w:ascii="Times New Roman" w:eastAsia="Times New Roman" w:hAnsi="Times New Roman" w:cs="Times New Roman"/>
          <w:sz w:val="24"/>
          <w:szCs w:val="24"/>
        </w:rPr>
        <w:t>“</w:t>
      </w:r>
      <w:r w:rsidRPr="003142B7">
        <w:rPr>
          <w:rFonts w:ascii="Times New Roman" w:eastAsia="Times New Roman" w:hAnsi="Times New Roman" w:cs="Times New Roman"/>
          <w:sz w:val="24"/>
          <w:szCs w:val="24"/>
        </w:rPr>
        <w:t>TAO</w:t>
      </w:r>
      <w:r>
        <w:rPr>
          <w:rFonts w:ascii="Times New Roman" w:eastAsia="Times New Roman" w:hAnsi="Times New Roman" w:cs="Times New Roman"/>
          <w:sz w:val="24"/>
          <w:szCs w:val="24"/>
        </w:rPr>
        <w:t>”</w:t>
      </w:r>
      <w:r w:rsidRPr="003142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E546D">
        <w:rPr>
          <w:rFonts w:ascii="Times New Roman" w:eastAsia="Times New Roman" w:hAnsi="Times New Roman" w:cs="Times New Roman"/>
          <w:sz w:val="24"/>
          <w:szCs w:val="24"/>
        </w:rPr>
        <w:t xml:space="preserve">directly </w:t>
      </w:r>
      <w:r>
        <w:rPr>
          <w:rFonts w:ascii="Times New Roman" w:eastAsia="Times New Roman" w:hAnsi="Times New Roman" w:cs="Times New Roman"/>
          <w:sz w:val="24"/>
          <w:szCs w:val="24"/>
        </w:rPr>
        <w:t xml:space="preserve">to the Commissioner. </w:t>
      </w:r>
    </w:p>
    <w:p w:rsidR="00280291" w:rsidRDefault="00BE546D" w:rsidP="00280291">
      <w:pPr>
        <w:shd w:val="clear" w:color="auto" w:fill="FFFFFF"/>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Durin</w:t>
      </w:r>
      <w:r w:rsidR="001411EC">
        <w:rPr>
          <w:rFonts w:ascii="Times New Roman" w:eastAsia="Times New Roman" w:hAnsi="Times New Roman" w:cs="Times New Roman"/>
          <w:sz w:val="24"/>
          <w:szCs w:val="24"/>
        </w:rPr>
        <w:t>g this reporting period, OTA</w:t>
      </w:r>
      <w:r>
        <w:rPr>
          <w:rFonts w:ascii="Times New Roman" w:eastAsia="Times New Roman" w:hAnsi="Times New Roman" w:cs="Times New Roman"/>
          <w:sz w:val="24"/>
          <w:szCs w:val="24"/>
        </w:rPr>
        <w:t xml:space="preserve"> resolve</w:t>
      </w:r>
      <w:r w:rsidR="001411EC">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280291">
        <w:rPr>
          <w:rFonts w:ascii="Times New Roman" w:eastAsia="Times New Roman" w:hAnsi="Times New Roman" w:cs="Times New Roman"/>
          <w:sz w:val="24"/>
          <w:szCs w:val="24"/>
        </w:rPr>
        <w:t>most</w:t>
      </w:r>
      <w:r>
        <w:rPr>
          <w:rFonts w:ascii="Times New Roman" w:eastAsia="Times New Roman" w:hAnsi="Times New Roman" w:cs="Times New Roman"/>
          <w:sz w:val="24"/>
          <w:szCs w:val="24"/>
        </w:rPr>
        <w:t xml:space="preserve"> cases through informal requests</w:t>
      </w:r>
      <w:r w:rsidR="00280291">
        <w:rPr>
          <w:rFonts w:ascii="Times New Roman" w:eastAsia="Times New Roman" w:hAnsi="Times New Roman" w:cs="Times New Roman"/>
          <w:sz w:val="24"/>
          <w:szCs w:val="24"/>
        </w:rPr>
        <w:t>; it has issued five formal OARs and no TAOs.</w:t>
      </w:r>
    </w:p>
    <w:p w:rsidR="003142B7" w:rsidRPr="00E8573F" w:rsidRDefault="003142B7" w:rsidP="00E8573F">
      <w:pPr>
        <w:pStyle w:val="ListParagraph"/>
        <w:keepNext/>
        <w:numPr>
          <w:ilvl w:val="0"/>
          <w:numId w:val="10"/>
        </w:numPr>
        <w:shd w:val="clear" w:color="auto" w:fill="FFFFFF"/>
        <w:spacing w:before="100" w:beforeAutospacing="1" w:after="100" w:afterAutospacing="1"/>
        <w:rPr>
          <w:rFonts w:ascii="Times New Roman" w:hAnsi="Times New Roman" w:cs="Times New Roman"/>
          <w:b/>
          <w:sz w:val="24"/>
          <w:szCs w:val="24"/>
        </w:rPr>
      </w:pPr>
      <w:r w:rsidRPr="00E8573F">
        <w:rPr>
          <w:rFonts w:ascii="Times New Roman" w:hAnsi="Times New Roman" w:cs="Times New Roman"/>
          <w:b/>
          <w:sz w:val="24"/>
          <w:szCs w:val="24"/>
        </w:rPr>
        <w:t>Taxpayer Bill of Rights.</w:t>
      </w:r>
    </w:p>
    <w:p w:rsidR="003142B7" w:rsidRPr="00AA7FAE" w:rsidRDefault="00210E06" w:rsidP="003B3BBE">
      <w:pPr>
        <w:keepNext/>
        <w:rPr>
          <w:rFonts w:ascii="Times New Roman" w:hAnsi="Times New Roman" w:cs="Times New Roman"/>
          <w:sz w:val="24"/>
          <w:szCs w:val="24"/>
        </w:rPr>
      </w:pPr>
      <w:r>
        <w:rPr>
          <w:rFonts w:ascii="Times New Roman" w:hAnsi="Times New Roman" w:cs="Times New Roman"/>
          <w:sz w:val="24"/>
          <w:szCs w:val="24"/>
        </w:rPr>
        <w:t xml:space="preserve">OTA </w:t>
      </w:r>
      <w:r w:rsidR="003142B7" w:rsidRPr="00AA7FAE">
        <w:rPr>
          <w:rFonts w:ascii="Times New Roman" w:hAnsi="Times New Roman" w:cs="Times New Roman"/>
          <w:sz w:val="24"/>
          <w:szCs w:val="24"/>
        </w:rPr>
        <w:t xml:space="preserve">officially opened for business on October 19, 2015. </w:t>
      </w:r>
      <w:r w:rsidR="003142B7">
        <w:rPr>
          <w:rFonts w:ascii="Times New Roman" w:hAnsi="Times New Roman" w:cs="Times New Roman"/>
          <w:sz w:val="24"/>
          <w:szCs w:val="24"/>
        </w:rPr>
        <w:t>S</w:t>
      </w:r>
      <w:r w:rsidR="001411EC">
        <w:rPr>
          <w:rFonts w:ascii="Times New Roman" w:hAnsi="Times New Roman" w:cs="Times New Roman"/>
          <w:sz w:val="24"/>
          <w:szCs w:val="24"/>
        </w:rPr>
        <w:t xml:space="preserve">hortly thereafter, </w:t>
      </w:r>
      <w:r>
        <w:rPr>
          <w:rFonts w:ascii="Times New Roman" w:hAnsi="Times New Roman" w:cs="Times New Roman"/>
          <w:sz w:val="24"/>
          <w:szCs w:val="24"/>
        </w:rPr>
        <w:t>DOF</w:t>
      </w:r>
      <w:r w:rsidR="003142B7">
        <w:rPr>
          <w:rFonts w:ascii="Times New Roman" w:hAnsi="Times New Roman" w:cs="Times New Roman"/>
          <w:sz w:val="24"/>
          <w:szCs w:val="24"/>
        </w:rPr>
        <w:t xml:space="preserve"> issued a</w:t>
      </w:r>
      <w:r w:rsidR="003142B7" w:rsidRPr="00AA7FAE">
        <w:rPr>
          <w:rFonts w:ascii="Times New Roman" w:hAnsi="Times New Roman" w:cs="Times New Roman"/>
          <w:sz w:val="24"/>
          <w:szCs w:val="24"/>
        </w:rPr>
        <w:t xml:space="preserve"> new NYC Taxpayer Bill of Rights (“TBOR”)</w:t>
      </w:r>
      <w:r w:rsidR="003142B7">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3B3BBE" w:rsidTr="003B3BBE">
        <w:trPr>
          <w:trHeight w:val="1932"/>
        </w:trPr>
        <w:tc>
          <w:tcPr>
            <w:tcW w:w="4788" w:type="dxa"/>
          </w:tcPr>
          <w:p w:rsidR="003B3BBE" w:rsidRPr="003B3BBE" w:rsidRDefault="003B3BBE" w:rsidP="003B3BBE">
            <w:pPr>
              <w:pStyle w:val="ListParagraph"/>
              <w:numPr>
                <w:ilvl w:val="0"/>
                <w:numId w:val="12"/>
              </w:numPr>
              <w:rPr>
                <w:rFonts w:ascii="Times New Roman" w:hAnsi="Times New Roman" w:cs="Times New Roman"/>
                <w:sz w:val="24"/>
                <w:szCs w:val="24"/>
              </w:rPr>
            </w:pPr>
            <w:r w:rsidRPr="00AA7FAE">
              <w:rPr>
                <w:rFonts w:ascii="Times New Roman" w:hAnsi="Times New Roman" w:cs="Times New Roman"/>
                <w:sz w:val="24"/>
                <w:szCs w:val="24"/>
              </w:rPr>
              <w:t>The Right to Be Informed</w:t>
            </w:r>
          </w:p>
          <w:p w:rsidR="003B3BBE" w:rsidRPr="003B3BBE" w:rsidRDefault="003B3BBE" w:rsidP="003142B7">
            <w:pPr>
              <w:pStyle w:val="ListParagraph"/>
              <w:numPr>
                <w:ilvl w:val="0"/>
                <w:numId w:val="12"/>
              </w:numPr>
              <w:rPr>
                <w:rFonts w:ascii="Times New Roman" w:hAnsi="Times New Roman" w:cs="Times New Roman"/>
                <w:sz w:val="24"/>
                <w:szCs w:val="24"/>
              </w:rPr>
            </w:pPr>
            <w:r w:rsidRPr="00AA7FAE">
              <w:rPr>
                <w:rFonts w:ascii="Times New Roman" w:hAnsi="Times New Roman" w:cs="Times New Roman"/>
                <w:sz w:val="24"/>
                <w:szCs w:val="24"/>
              </w:rPr>
              <w:t>The Right to Quality Service</w:t>
            </w:r>
          </w:p>
          <w:p w:rsidR="003B3BBE" w:rsidRPr="003B3BBE" w:rsidRDefault="003B3BBE" w:rsidP="003142B7">
            <w:pPr>
              <w:pStyle w:val="ListParagraph"/>
              <w:numPr>
                <w:ilvl w:val="0"/>
                <w:numId w:val="12"/>
              </w:numPr>
              <w:rPr>
                <w:rFonts w:ascii="Times New Roman" w:hAnsi="Times New Roman" w:cs="Times New Roman"/>
                <w:sz w:val="24"/>
                <w:szCs w:val="24"/>
              </w:rPr>
            </w:pPr>
            <w:r w:rsidRPr="00AA7FAE">
              <w:rPr>
                <w:rFonts w:ascii="Times New Roman" w:hAnsi="Times New Roman" w:cs="Times New Roman"/>
                <w:sz w:val="24"/>
                <w:szCs w:val="24"/>
              </w:rPr>
              <w:t>The Right to Understand How Your Property Tax is Determined</w:t>
            </w:r>
          </w:p>
          <w:p w:rsidR="003B3BBE" w:rsidRPr="003B3BBE" w:rsidRDefault="003B3BBE" w:rsidP="003142B7">
            <w:pPr>
              <w:pStyle w:val="ListParagraph"/>
              <w:numPr>
                <w:ilvl w:val="0"/>
                <w:numId w:val="12"/>
              </w:numPr>
              <w:rPr>
                <w:rFonts w:ascii="Times New Roman" w:hAnsi="Times New Roman" w:cs="Times New Roman"/>
                <w:sz w:val="24"/>
                <w:szCs w:val="24"/>
              </w:rPr>
            </w:pPr>
            <w:r w:rsidRPr="00AA7FAE">
              <w:rPr>
                <w:rFonts w:ascii="Times New Roman" w:hAnsi="Times New Roman" w:cs="Times New Roman"/>
                <w:sz w:val="24"/>
                <w:szCs w:val="24"/>
              </w:rPr>
              <w:t>The Right to a Fair and Just Tax System</w:t>
            </w:r>
          </w:p>
          <w:p w:rsidR="003B3BBE" w:rsidRPr="003B3BBE" w:rsidRDefault="003B3BBE" w:rsidP="003142B7">
            <w:pPr>
              <w:pStyle w:val="ListParagraph"/>
              <w:numPr>
                <w:ilvl w:val="0"/>
                <w:numId w:val="12"/>
              </w:numPr>
              <w:rPr>
                <w:rFonts w:ascii="Times New Roman" w:hAnsi="Times New Roman" w:cs="Times New Roman"/>
                <w:sz w:val="24"/>
                <w:szCs w:val="24"/>
              </w:rPr>
            </w:pPr>
            <w:r w:rsidRPr="00AA7FAE">
              <w:rPr>
                <w:rFonts w:ascii="Times New Roman" w:hAnsi="Times New Roman" w:cs="Times New Roman"/>
                <w:sz w:val="24"/>
                <w:szCs w:val="24"/>
              </w:rPr>
              <w:t>The Right to Retain Representation</w:t>
            </w:r>
          </w:p>
        </w:tc>
        <w:tc>
          <w:tcPr>
            <w:tcW w:w="4788" w:type="dxa"/>
          </w:tcPr>
          <w:p w:rsidR="003B3BBE" w:rsidRDefault="003B3BBE" w:rsidP="003B3BBE">
            <w:pPr>
              <w:pStyle w:val="ListParagraph"/>
              <w:numPr>
                <w:ilvl w:val="0"/>
                <w:numId w:val="12"/>
              </w:numPr>
              <w:rPr>
                <w:rFonts w:ascii="Times New Roman" w:hAnsi="Times New Roman" w:cs="Times New Roman"/>
                <w:sz w:val="24"/>
                <w:szCs w:val="24"/>
              </w:rPr>
            </w:pPr>
            <w:r w:rsidRPr="00AA7FAE">
              <w:rPr>
                <w:rFonts w:ascii="Times New Roman" w:hAnsi="Times New Roman" w:cs="Times New Roman"/>
                <w:sz w:val="24"/>
                <w:szCs w:val="24"/>
              </w:rPr>
              <w:t>The Right to Pay No More than the Correct Amount of Tax</w:t>
            </w:r>
          </w:p>
          <w:p w:rsidR="003B3BBE" w:rsidRPr="00AA7FAE" w:rsidRDefault="003B3BBE" w:rsidP="003B3BBE">
            <w:pPr>
              <w:pStyle w:val="ListParagraph"/>
              <w:numPr>
                <w:ilvl w:val="0"/>
                <w:numId w:val="12"/>
              </w:numPr>
              <w:rPr>
                <w:rFonts w:ascii="Times New Roman" w:hAnsi="Times New Roman" w:cs="Times New Roman"/>
                <w:sz w:val="24"/>
                <w:szCs w:val="24"/>
              </w:rPr>
            </w:pPr>
            <w:r w:rsidRPr="00AA7FAE">
              <w:rPr>
                <w:rFonts w:ascii="Times New Roman" w:hAnsi="Times New Roman" w:cs="Times New Roman"/>
                <w:sz w:val="24"/>
                <w:szCs w:val="24"/>
              </w:rPr>
              <w:t>The Right to Finality</w:t>
            </w:r>
          </w:p>
          <w:p w:rsidR="003B3BBE" w:rsidRPr="00AA7FAE" w:rsidRDefault="003B3BBE" w:rsidP="003B3BBE">
            <w:pPr>
              <w:pStyle w:val="ListParagraph"/>
              <w:numPr>
                <w:ilvl w:val="0"/>
                <w:numId w:val="12"/>
              </w:numPr>
              <w:rPr>
                <w:rFonts w:ascii="Times New Roman" w:hAnsi="Times New Roman" w:cs="Times New Roman"/>
                <w:sz w:val="24"/>
                <w:szCs w:val="24"/>
              </w:rPr>
            </w:pPr>
            <w:r w:rsidRPr="00AA7FAE">
              <w:rPr>
                <w:rFonts w:ascii="Times New Roman" w:hAnsi="Times New Roman" w:cs="Times New Roman"/>
                <w:sz w:val="24"/>
                <w:szCs w:val="24"/>
              </w:rPr>
              <w:t>The Right to Privacy</w:t>
            </w:r>
          </w:p>
          <w:p w:rsidR="003B3BBE" w:rsidRPr="00AA7FAE" w:rsidRDefault="003B3BBE" w:rsidP="003B3BBE">
            <w:pPr>
              <w:pStyle w:val="ListParagraph"/>
              <w:numPr>
                <w:ilvl w:val="0"/>
                <w:numId w:val="12"/>
              </w:numPr>
              <w:rPr>
                <w:rFonts w:ascii="Times New Roman" w:hAnsi="Times New Roman" w:cs="Times New Roman"/>
                <w:sz w:val="24"/>
                <w:szCs w:val="24"/>
              </w:rPr>
            </w:pPr>
            <w:r w:rsidRPr="00AA7FAE">
              <w:rPr>
                <w:rFonts w:ascii="Times New Roman" w:hAnsi="Times New Roman" w:cs="Times New Roman"/>
                <w:sz w:val="24"/>
                <w:szCs w:val="24"/>
              </w:rPr>
              <w:t>The Right to Confidentiality</w:t>
            </w:r>
          </w:p>
          <w:p w:rsidR="003B3BBE" w:rsidRPr="003B3BBE" w:rsidRDefault="003B3BBE" w:rsidP="003B3BBE">
            <w:pPr>
              <w:pStyle w:val="ListParagraph"/>
              <w:numPr>
                <w:ilvl w:val="0"/>
                <w:numId w:val="12"/>
              </w:numPr>
              <w:rPr>
                <w:rFonts w:ascii="Times New Roman" w:hAnsi="Times New Roman" w:cs="Times New Roman"/>
                <w:sz w:val="24"/>
                <w:szCs w:val="24"/>
              </w:rPr>
            </w:pPr>
            <w:r w:rsidRPr="00AA7FAE">
              <w:rPr>
                <w:rFonts w:ascii="Times New Roman" w:hAnsi="Times New Roman" w:cs="Times New Roman"/>
                <w:sz w:val="24"/>
                <w:szCs w:val="24"/>
              </w:rPr>
              <w:t>The Right to Challenge the Department of Finance’s Position and Be Heard</w:t>
            </w:r>
          </w:p>
        </w:tc>
      </w:tr>
    </w:tbl>
    <w:p w:rsidR="003142B7" w:rsidRDefault="003142B7" w:rsidP="003142B7">
      <w:pPr>
        <w:spacing w:after="0"/>
        <w:rPr>
          <w:rFonts w:ascii="Times New Roman" w:hAnsi="Times New Roman" w:cs="Times New Roman"/>
          <w:sz w:val="24"/>
          <w:szCs w:val="24"/>
        </w:rPr>
      </w:pPr>
    </w:p>
    <w:p w:rsidR="0069759F" w:rsidRDefault="0069759F" w:rsidP="0069759F">
      <w:pPr>
        <w:shd w:val="clear" w:color="auto" w:fill="FFFFFF"/>
        <w:spacing w:before="100" w:beforeAutospacing="1" w:after="100" w:afterAutospacing="1"/>
        <w:rPr>
          <w:rFonts w:ascii="Times New Roman" w:hAnsi="Times New Roman"/>
          <w:sz w:val="24"/>
          <w:szCs w:val="24"/>
        </w:rPr>
        <w:sectPr w:rsidR="0069759F" w:rsidSect="00E62E20">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pPr>
    </w:p>
    <w:p w:rsidR="003142B7" w:rsidRPr="003142B7" w:rsidRDefault="003142B7" w:rsidP="00521504">
      <w:pPr>
        <w:shd w:val="clear" w:color="auto" w:fill="FFFFFF"/>
        <w:spacing w:before="100" w:beforeAutospacing="1" w:after="100" w:afterAutospacing="1"/>
        <w:rPr>
          <w:rFonts w:ascii="Times New Roman" w:eastAsia="Times New Roman" w:hAnsi="Times New Roman" w:cs="Times New Roman"/>
          <w:color w:val="333333"/>
          <w:sz w:val="24"/>
          <w:szCs w:val="24"/>
        </w:rPr>
      </w:pPr>
    </w:p>
    <w:p w:rsidR="00682619" w:rsidRPr="00580C21" w:rsidRDefault="003142B7" w:rsidP="00521504">
      <w:pPr>
        <w:keepNext/>
        <w:shd w:val="clear" w:color="auto" w:fill="FFFFFF"/>
        <w:spacing w:before="100" w:beforeAutospacing="1" w:after="100" w:afterAutospacing="1" w:line="300" w:lineRule="atLeast"/>
        <w:rPr>
          <w:rFonts w:ascii="Times New Roman" w:eastAsia="Times New Roman" w:hAnsi="Times New Roman" w:cs="Times New Roman"/>
          <w:b/>
          <w:sz w:val="28"/>
          <w:szCs w:val="28"/>
        </w:rPr>
      </w:pPr>
      <w:r w:rsidRPr="00580C21">
        <w:rPr>
          <w:rFonts w:ascii="Times New Roman" w:eastAsia="Times New Roman" w:hAnsi="Times New Roman" w:cs="Times New Roman"/>
          <w:b/>
          <w:sz w:val="28"/>
          <w:szCs w:val="28"/>
        </w:rPr>
        <w:t xml:space="preserve">Part II: </w:t>
      </w:r>
    </w:p>
    <w:p w:rsidR="00640102" w:rsidRPr="00FB16A0" w:rsidRDefault="00521504" w:rsidP="00521504">
      <w:pPr>
        <w:keepNext/>
        <w:shd w:val="clear" w:color="auto" w:fill="FFFFFF"/>
        <w:spacing w:before="100" w:beforeAutospacing="1" w:after="100" w:afterAutospacing="1" w:line="300" w:lineRule="atLeast"/>
        <w:rPr>
          <w:rFonts w:ascii="Times New Roman" w:eastAsia="Times New Roman" w:hAnsi="Times New Roman" w:cs="Times New Roman"/>
          <w:b/>
          <w:sz w:val="24"/>
          <w:szCs w:val="24"/>
          <w:u w:val="single"/>
        </w:rPr>
      </w:pPr>
      <w:r>
        <w:rPr>
          <w:rFonts w:ascii="Times New Roman" w:eastAsia="Times New Roman" w:hAnsi="Times New Roman" w:cs="Times New Roman"/>
          <w:b/>
          <w:sz w:val="28"/>
          <w:szCs w:val="28"/>
          <w:u w:val="single"/>
        </w:rPr>
        <w:t xml:space="preserve">DOF </w:t>
      </w:r>
      <w:r w:rsidR="00D52070">
        <w:rPr>
          <w:rFonts w:ascii="Times New Roman" w:eastAsia="Times New Roman" w:hAnsi="Times New Roman" w:cs="Times New Roman"/>
          <w:b/>
          <w:sz w:val="28"/>
          <w:szCs w:val="28"/>
          <w:u w:val="single"/>
        </w:rPr>
        <w:t>Actions</w:t>
      </w:r>
      <w:r w:rsidR="00111890" w:rsidRPr="00FB16A0">
        <w:rPr>
          <w:rFonts w:ascii="Times New Roman" w:eastAsia="Times New Roman" w:hAnsi="Times New Roman" w:cs="Times New Roman"/>
          <w:b/>
          <w:sz w:val="28"/>
          <w:szCs w:val="28"/>
          <w:u w:val="single"/>
        </w:rPr>
        <w:t xml:space="preserve"> to OTA 2016 Recommendations</w:t>
      </w:r>
      <w:r w:rsidR="00111890" w:rsidRPr="00FB16A0">
        <w:rPr>
          <w:rFonts w:ascii="Times New Roman" w:eastAsia="Times New Roman" w:hAnsi="Times New Roman" w:cs="Times New Roman"/>
          <w:b/>
          <w:sz w:val="24"/>
          <w:szCs w:val="24"/>
          <w:u w:val="single"/>
        </w:rPr>
        <w:t xml:space="preserve"> </w:t>
      </w:r>
    </w:p>
    <w:p w:rsidR="00F71F52" w:rsidRPr="00FB16A0" w:rsidRDefault="00DC0ECF" w:rsidP="00CB0D09">
      <w:pPr>
        <w:spacing w:after="0"/>
      </w:pPr>
      <w:r w:rsidRPr="00FB16A0">
        <w:rPr>
          <w:rFonts w:ascii="Times New Roman" w:eastAsia="Times New Roman" w:hAnsi="Times New Roman" w:cs="Times New Roman"/>
          <w:sz w:val="24"/>
          <w:szCs w:val="24"/>
        </w:rPr>
        <w:t>OTA</w:t>
      </w:r>
      <w:r w:rsidR="008E766F">
        <w:rPr>
          <w:rFonts w:ascii="Times New Roman" w:eastAsia="Times New Roman" w:hAnsi="Times New Roman" w:cs="Times New Roman"/>
          <w:sz w:val="24"/>
          <w:szCs w:val="24"/>
        </w:rPr>
        <w:t>’s</w:t>
      </w:r>
      <w:r w:rsidRPr="00FB16A0">
        <w:rPr>
          <w:rFonts w:ascii="Times New Roman" w:eastAsia="Times New Roman" w:hAnsi="Times New Roman" w:cs="Times New Roman"/>
          <w:sz w:val="24"/>
          <w:szCs w:val="24"/>
        </w:rPr>
        <w:t xml:space="preserve"> </w:t>
      </w:r>
      <w:r w:rsidR="00640102" w:rsidRPr="00FB16A0">
        <w:rPr>
          <w:rFonts w:ascii="Times New Roman" w:eastAsia="Times New Roman" w:hAnsi="Times New Roman" w:cs="Times New Roman"/>
          <w:sz w:val="24"/>
          <w:szCs w:val="24"/>
        </w:rPr>
        <w:t xml:space="preserve">2016 Annual Report </w:t>
      </w:r>
      <w:r w:rsidR="00B214D4" w:rsidRPr="00FB16A0">
        <w:rPr>
          <w:rFonts w:ascii="Times New Roman" w:eastAsia="Times New Roman" w:hAnsi="Times New Roman" w:cs="Times New Roman"/>
          <w:sz w:val="24"/>
          <w:szCs w:val="24"/>
        </w:rPr>
        <w:t xml:space="preserve">made </w:t>
      </w:r>
      <w:r w:rsidR="00942643" w:rsidRPr="00FB16A0">
        <w:rPr>
          <w:rFonts w:ascii="Times New Roman" w:eastAsia="Times New Roman" w:hAnsi="Times New Roman" w:cs="Times New Roman"/>
          <w:sz w:val="24"/>
          <w:szCs w:val="24"/>
        </w:rPr>
        <w:t xml:space="preserve">13 </w:t>
      </w:r>
      <w:r w:rsidR="00640102" w:rsidRPr="00FB16A0">
        <w:rPr>
          <w:rFonts w:ascii="Times New Roman" w:eastAsia="Times New Roman" w:hAnsi="Times New Roman" w:cs="Times New Roman"/>
          <w:sz w:val="24"/>
          <w:szCs w:val="24"/>
        </w:rPr>
        <w:t>recommendations</w:t>
      </w:r>
      <w:r w:rsidR="008B14CC" w:rsidRPr="00FB16A0">
        <w:rPr>
          <w:rFonts w:ascii="Times New Roman" w:eastAsia="Times New Roman" w:hAnsi="Times New Roman" w:cs="Times New Roman"/>
          <w:sz w:val="24"/>
          <w:szCs w:val="24"/>
        </w:rPr>
        <w:t xml:space="preserve"> </w:t>
      </w:r>
      <w:r w:rsidR="00B64CC4" w:rsidRPr="00FB16A0">
        <w:rPr>
          <w:rFonts w:ascii="Times New Roman" w:eastAsia="Times New Roman" w:hAnsi="Times New Roman" w:cs="Times New Roman"/>
          <w:sz w:val="24"/>
          <w:szCs w:val="24"/>
        </w:rPr>
        <w:t>for corrective measures</w:t>
      </w:r>
      <w:r w:rsidR="00891539">
        <w:rPr>
          <w:rFonts w:ascii="Times New Roman" w:eastAsia="Times New Roman" w:hAnsi="Times New Roman" w:cs="Times New Roman"/>
          <w:sz w:val="24"/>
          <w:szCs w:val="24"/>
        </w:rPr>
        <w:t xml:space="preserve"> for common issues</w:t>
      </w:r>
      <w:r w:rsidR="00B64CC4" w:rsidRPr="00FB16A0">
        <w:rPr>
          <w:rFonts w:ascii="Times New Roman" w:eastAsia="Times New Roman" w:hAnsi="Times New Roman" w:cs="Times New Roman"/>
          <w:sz w:val="24"/>
          <w:szCs w:val="24"/>
        </w:rPr>
        <w:t xml:space="preserve">. </w:t>
      </w:r>
      <w:r w:rsidR="008E766F">
        <w:rPr>
          <w:rFonts w:ascii="Times New Roman" w:eastAsia="Times New Roman" w:hAnsi="Times New Roman" w:cs="Times New Roman"/>
          <w:sz w:val="24"/>
          <w:szCs w:val="24"/>
        </w:rPr>
        <w:t>This section provides</w:t>
      </w:r>
      <w:r w:rsidR="00B40EFA" w:rsidRPr="00FB16A0">
        <w:rPr>
          <w:rFonts w:ascii="Times New Roman" w:eastAsia="Times New Roman" w:hAnsi="Times New Roman" w:cs="Times New Roman"/>
          <w:sz w:val="24"/>
          <w:szCs w:val="24"/>
        </w:rPr>
        <w:t xml:space="preserve"> the status of th</w:t>
      </w:r>
      <w:r w:rsidR="00B214D4" w:rsidRPr="00FB16A0">
        <w:rPr>
          <w:rFonts w:ascii="Times New Roman" w:eastAsia="Times New Roman" w:hAnsi="Times New Roman" w:cs="Times New Roman"/>
          <w:sz w:val="24"/>
          <w:szCs w:val="24"/>
        </w:rPr>
        <w:t>e implementation of those recommendations.</w:t>
      </w:r>
      <w:bookmarkStart w:id="3" w:name="_Toc448260920"/>
    </w:p>
    <w:p w:rsidR="00487B42" w:rsidRPr="00D92E56" w:rsidRDefault="00B64CC4" w:rsidP="00B64CC4">
      <w:pPr>
        <w:keepNext/>
        <w:shd w:val="clear" w:color="auto" w:fill="FFFFFF"/>
        <w:spacing w:before="100" w:beforeAutospacing="1" w:after="100" w:afterAutospacing="1" w:line="300" w:lineRule="atLeast"/>
        <w:rPr>
          <w:rFonts w:ascii="Times New Roman" w:eastAsia="Times New Roman" w:hAnsi="Times New Roman" w:cs="Times New Roman"/>
          <w:sz w:val="24"/>
          <w:szCs w:val="24"/>
          <w:u w:val="single"/>
        </w:rPr>
      </w:pPr>
      <w:r w:rsidRPr="00D92E56">
        <w:rPr>
          <w:rFonts w:ascii="Times New Roman" w:hAnsi="Times New Roman" w:cs="Times New Roman"/>
          <w:b/>
          <w:bCs/>
          <w:iCs/>
          <w:sz w:val="24"/>
          <w:szCs w:val="24"/>
          <w:u w:val="single"/>
        </w:rPr>
        <w:t>Recommendation</w:t>
      </w:r>
      <w:r w:rsidR="006A42C6" w:rsidRPr="00D92E56">
        <w:rPr>
          <w:rFonts w:ascii="Times New Roman" w:hAnsi="Times New Roman" w:cs="Times New Roman"/>
          <w:b/>
          <w:bCs/>
          <w:iCs/>
          <w:sz w:val="24"/>
          <w:szCs w:val="24"/>
          <w:u w:val="single"/>
        </w:rPr>
        <w:t xml:space="preserve"> No. </w:t>
      </w:r>
      <w:r w:rsidRPr="00D92E56">
        <w:rPr>
          <w:rFonts w:ascii="Times New Roman" w:hAnsi="Times New Roman" w:cs="Times New Roman"/>
          <w:b/>
          <w:bCs/>
          <w:iCs/>
          <w:sz w:val="24"/>
          <w:szCs w:val="24"/>
          <w:u w:val="single"/>
        </w:rPr>
        <w:t>1</w:t>
      </w:r>
    </w:p>
    <w:p w:rsidR="00210E06" w:rsidRDefault="00210E06" w:rsidP="00636114">
      <w:pPr>
        <w:keepNext/>
        <w:shd w:val="clear" w:color="auto" w:fill="FFFFFF"/>
        <w:spacing w:before="100" w:beforeAutospacing="1" w:after="100" w:afterAutospacing="1" w:line="300" w:lineRule="atLeast"/>
        <w:rPr>
          <w:rFonts w:ascii="Times New Roman" w:hAnsi="Times New Roman" w:cs="Times New Roman"/>
          <w:b/>
          <w:i/>
          <w:sz w:val="24"/>
          <w:szCs w:val="24"/>
        </w:rPr>
      </w:pPr>
      <w:r w:rsidRPr="00210E06">
        <w:rPr>
          <w:rFonts w:ascii="Times New Roman" w:hAnsi="Times New Roman" w:cs="Times New Roman"/>
          <w:b/>
          <w:i/>
          <w:sz w:val="24"/>
          <w:szCs w:val="24"/>
        </w:rPr>
        <w:t>Create a group to review all notices, forms and correspondences to assure that they are written in plain language. DOF should study the feasibility of translating its forms and notices into other languages.</w:t>
      </w:r>
    </w:p>
    <w:p w:rsidR="00D92E56" w:rsidRPr="00D92E56" w:rsidRDefault="00D92E56" w:rsidP="00636114">
      <w:pPr>
        <w:keepNext/>
        <w:shd w:val="clear" w:color="auto" w:fill="FFFFFF"/>
        <w:spacing w:before="100" w:beforeAutospacing="1" w:after="100" w:afterAutospacing="1" w:line="300" w:lineRule="atLeast"/>
        <w:rPr>
          <w:rFonts w:ascii="Times New Roman" w:hAnsi="Times New Roman" w:cs="Times New Roman"/>
          <w:b/>
          <w:sz w:val="24"/>
          <w:szCs w:val="24"/>
        </w:rPr>
      </w:pPr>
      <w:r w:rsidRPr="00D92E56">
        <w:rPr>
          <w:rFonts w:ascii="Times New Roman" w:hAnsi="Times New Roman" w:cs="Times New Roman"/>
          <w:b/>
          <w:sz w:val="24"/>
          <w:szCs w:val="24"/>
        </w:rPr>
        <w:t xml:space="preserve">DOF </w:t>
      </w:r>
      <w:r w:rsidR="00D52070">
        <w:rPr>
          <w:rFonts w:ascii="Times New Roman" w:hAnsi="Times New Roman" w:cs="Times New Roman"/>
          <w:b/>
          <w:sz w:val="24"/>
          <w:szCs w:val="24"/>
        </w:rPr>
        <w:t>Action</w:t>
      </w:r>
      <w:r w:rsidRPr="00D92E56">
        <w:rPr>
          <w:rFonts w:ascii="Times New Roman" w:hAnsi="Times New Roman" w:cs="Times New Roman"/>
          <w:b/>
          <w:sz w:val="24"/>
          <w:szCs w:val="24"/>
        </w:rPr>
        <w:t>:</w:t>
      </w:r>
    </w:p>
    <w:p w:rsidR="00263C92" w:rsidRDefault="00E726E0" w:rsidP="00B64CC4">
      <w:pPr>
        <w:pStyle w:val="ListParagraph"/>
        <w:shd w:val="clear" w:color="auto" w:fill="FFFFFF"/>
        <w:spacing w:before="100" w:beforeAutospacing="1" w:after="100" w:afterAutospacing="1" w:line="300" w:lineRule="atLeast"/>
        <w:ind w:left="0"/>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 xml:space="preserve">DOF </w:t>
      </w:r>
      <w:r w:rsidR="00AB6CFE">
        <w:rPr>
          <w:rFonts w:ascii="Times New Roman" w:eastAsia="Times New Roman" w:hAnsi="Times New Roman" w:cs="Times New Roman"/>
          <w:sz w:val="24"/>
          <w:szCs w:val="24"/>
        </w:rPr>
        <w:t xml:space="preserve">agreed with this recommendation and </w:t>
      </w:r>
      <w:r w:rsidRPr="00FB16A0">
        <w:rPr>
          <w:rFonts w:ascii="Times New Roman" w:eastAsia="Times New Roman" w:hAnsi="Times New Roman" w:cs="Times New Roman"/>
          <w:sz w:val="24"/>
          <w:szCs w:val="24"/>
        </w:rPr>
        <w:t>created a</w:t>
      </w:r>
      <w:r w:rsidR="00B214D4" w:rsidRPr="00FB16A0">
        <w:rPr>
          <w:rFonts w:ascii="Times New Roman" w:eastAsia="Times New Roman" w:hAnsi="Times New Roman" w:cs="Times New Roman"/>
          <w:sz w:val="24"/>
          <w:szCs w:val="24"/>
        </w:rPr>
        <w:t>n agency-wide</w:t>
      </w:r>
      <w:r w:rsidRPr="00FB16A0">
        <w:rPr>
          <w:rFonts w:ascii="Times New Roman" w:eastAsia="Times New Roman" w:hAnsi="Times New Roman" w:cs="Times New Roman"/>
          <w:sz w:val="24"/>
          <w:szCs w:val="24"/>
        </w:rPr>
        <w:t xml:space="preserve"> working group </w:t>
      </w:r>
      <w:r w:rsidR="00B214D4" w:rsidRPr="00FB16A0">
        <w:rPr>
          <w:rFonts w:ascii="Times New Roman" w:eastAsia="Times New Roman" w:hAnsi="Times New Roman" w:cs="Times New Roman"/>
          <w:sz w:val="24"/>
          <w:szCs w:val="24"/>
        </w:rPr>
        <w:t xml:space="preserve">to review all DOF </w:t>
      </w:r>
      <w:r w:rsidR="00F443AA" w:rsidRPr="00FB16A0">
        <w:rPr>
          <w:rFonts w:ascii="Times New Roman" w:eastAsia="Times New Roman" w:hAnsi="Times New Roman" w:cs="Times New Roman"/>
          <w:sz w:val="24"/>
          <w:szCs w:val="24"/>
        </w:rPr>
        <w:t>forms, notices, letters</w:t>
      </w:r>
      <w:r w:rsidR="002C79F1" w:rsidRPr="00FB16A0">
        <w:rPr>
          <w:rFonts w:ascii="Times New Roman" w:eastAsia="Times New Roman" w:hAnsi="Times New Roman" w:cs="Times New Roman"/>
          <w:sz w:val="24"/>
          <w:szCs w:val="24"/>
        </w:rPr>
        <w:t>,</w:t>
      </w:r>
      <w:r w:rsidR="00F443AA" w:rsidRPr="00FB16A0">
        <w:rPr>
          <w:rFonts w:ascii="Times New Roman" w:eastAsia="Times New Roman" w:hAnsi="Times New Roman" w:cs="Times New Roman"/>
          <w:sz w:val="24"/>
          <w:szCs w:val="24"/>
        </w:rPr>
        <w:t xml:space="preserve"> and </w:t>
      </w:r>
      <w:r w:rsidR="00492715" w:rsidRPr="00FB16A0">
        <w:rPr>
          <w:rFonts w:ascii="Times New Roman" w:eastAsia="Times New Roman" w:hAnsi="Times New Roman" w:cs="Times New Roman"/>
          <w:sz w:val="24"/>
          <w:szCs w:val="24"/>
        </w:rPr>
        <w:t xml:space="preserve">other written correspondence </w:t>
      </w:r>
      <w:r w:rsidR="00B214D4" w:rsidRPr="00FB16A0">
        <w:rPr>
          <w:rFonts w:ascii="Times New Roman" w:eastAsia="Times New Roman" w:hAnsi="Times New Roman" w:cs="Times New Roman"/>
          <w:sz w:val="24"/>
          <w:szCs w:val="24"/>
        </w:rPr>
        <w:t xml:space="preserve">to incorporate </w:t>
      </w:r>
      <w:r w:rsidR="00F443AA" w:rsidRPr="00FB16A0">
        <w:rPr>
          <w:rFonts w:ascii="Times New Roman" w:eastAsia="Times New Roman" w:hAnsi="Times New Roman" w:cs="Times New Roman"/>
          <w:sz w:val="24"/>
          <w:szCs w:val="24"/>
        </w:rPr>
        <w:t>plain language</w:t>
      </w:r>
      <w:r w:rsidR="00492715" w:rsidRPr="00FB16A0">
        <w:rPr>
          <w:rFonts w:ascii="Times New Roman" w:eastAsia="Times New Roman" w:hAnsi="Times New Roman" w:cs="Times New Roman"/>
          <w:sz w:val="24"/>
          <w:szCs w:val="24"/>
        </w:rPr>
        <w:t xml:space="preserve"> and </w:t>
      </w:r>
      <w:r w:rsidR="00F443AA" w:rsidRPr="00FB16A0">
        <w:rPr>
          <w:rFonts w:ascii="Times New Roman" w:eastAsia="Times New Roman" w:hAnsi="Times New Roman" w:cs="Times New Roman"/>
          <w:sz w:val="24"/>
          <w:szCs w:val="24"/>
        </w:rPr>
        <w:t>increas</w:t>
      </w:r>
      <w:r w:rsidR="00B214D4" w:rsidRPr="00FB16A0">
        <w:rPr>
          <w:rFonts w:ascii="Times New Roman" w:eastAsia="Times New Roman" w:hAnsi="Times New Roman" w:cs="Times New Roman"/>
          <w:sz w:val="24"/>
          <w:szCs w:val="24"/>
        </w:rPr>
        <w:t>e</w:t>
      </w:r>
      <w:r w:rsidR="00F443AA" w:rsidRPr="00FB16A0">
        <w:rPr>
          <w:rFonts w:ascii="Times New Roman" w:eastAsia="Times New Roman" w:hAnsi="Times New Roman" w:cs="Times New Roman"/>
          <w:sz w:val="24"/>
          <w:szCs w:val="24"/>
        </w:rPr>
        <w:t xml:space="preserve"> readability</w:t>
      </w:r>
      <w:r w:rsidR="00B64CC4" w:rsidRPr="00FB16A0">
        <w:rPr>
          <w:rFonts w:ascii="Times New Roman" w:eastAsia="Times New Roman" w:hAnsi="Times New Roman" w:cs="Times New Roman"/>
          <w:sz w:val="24"/>
          <w:szCs w:val="24"/>
        </w:rPr>
        <w:t>.</w:t>
      </w:r>
      <w:r w:rsidR="00492715" w:rsidRPr="00FB16A0">
        <w:rPr>
          <w:rFonts w:ascii="Times New Roman" w:eastAsia="Times New Roman" w:hAnsi="Times New Roman" w:cs="Times New Roman"/>
          <w:sz w:val="24"/>
          <w:szCs w:val="24"/>
        </w:rPr>
        <w:t xml:space="preserve"> </w:t>
      </w:r>
      <w:r w:rsidR="00B214D4" w:rsidRPr="00FB16A0">
        <w:rPr>
          <w:rFonts w:ascii="Times New Roman" w:hAnsi="Times New Roman" w:cs="Times New Roman"/>
          <w:sz w:val="24"/>
          <w:szCs w:val="24"/>
        </w:rPr>
        <w:t>As part of this</w:t>
      </w:r>
      <w:r w:rsidR="00210E06">
        <w:rPr>
          <w:rFonts w:ascii="Times New Roman" w:hAnsi="Times New Roman" w:cs="Times New Roman"/>
          <w:sz w:val="24"/>
          <w:szCs w:val="24"/>
        </w:rPr>
        <w:t xml:space="preserve"> multiyear</w:t>
      </w:r>
      <w:r w:rsidR="00B214D4" w:rsidRPr="00FB16A0">
        <w:rPr>
          <w:rFonts w:ascii="Times New Roman" w:hAnsi="Times New Roman" w:cs="Times New Roman"/>
          <w:sz w:val="24"/>
          <w:szCs w:val="24"/>
        </w:rPr>
        <w:t xml:space="preserve"> initiative, </w:t>
      </w:r>
      <w:r w:rsidR="00BB397E" w:rsidRPr="00FB16A0">
        <w:rPr>
          <w:rFonts w:ascii="Times New Roman" w:eastAsia="Times New Roman" w:hAnsi="Times New Roman" w:cs="Times New Roman"/>
          <w:sz w:val="24"/>
          <w:szCs w:val="24"/>
        </w:rPr>
        <w:t xml:space="preserve">DOF has met with organizations </w:t>
      </w:r>
      <w:r w:rsidR="00833001" w:rsidRPr="00FB16A0">
        <w:rPr>
          <w:rFonts w:ascii="Times New Roman" w:eastAsia="Times New Roman" w:hAnsi="Times New Roman" w:cs="Times New Roman"/>
          <w:sz w:val="24"/>
          <w:szCs w:val="24"/>
        </w:rPr>
        <w:t>representing senior</w:t>
      </w:r>
      <w:r w:rsidR="00E744F5" w:rsidRPr="00FB16A0">
        <w:rPr>
          <w:rFonts w:ascii="Times New Roman" w:eastAsia="Times New Roman" w:hAnsi="Times New Roman" w:cs="Times New Roman"/>
          <w:sz w:val="24"/>
          <w:szCs w:val="24"/>
        </w:rPr>
        <w:t>, disabled</w:t>
      </w:r>
      <w:r w:rsidR="002C79F1" w:rsidRPr="00FB16A0">
        <w:rPr>
          <w:rFonts w:ascii="Times New Roman" w:eastAsia="Times New Roman" w:hAnsi="Times New Roman" w:cs="Times New Roman"/>
          <w:sz w:val="24"/>
          <w:szCs w:val="24"/>
        </w:rPr>
        <w:t>, and low-</w:t>
      </w:r>
      <w:r w:rsidR="00E744F5" w:rsidRPr="00FB16A0">
        <w:rPr>
          <w:rFonts w:ascii="Times New Roman" w:eastAsia="Times New Roman" w:hAnsi="Times New Roman" w:cs="Times New Roman"/>
          <w:sz w:val="24"/>
          <w:szCs w:val="24"/>
        </w:rPr>
        <w:t xml:space="preserve">income communities for </w:t>
      </w:r>
      <w:r w:rsidR="00BB397E" w:rsidRPr="00FB16A0">
        <w:rPr>
          <w:rFonts w:ascii="Times New Roman" w:eastAsia="Times New Roman" w:hAnsi="Times New Roman" w:cs="Times New Roman"/>
          <w:sz w:val="24"/>
          <w:szCs w:val="24"/>
        </w:rPr>
        <w:t xml:space="preserve">input in </w:t>
      </w:r>
      <w:r w:rsidR="00E744F5" w:rsidRPr="00FB16A0">
        <w:rPr>
          <w:rFonts w:ascii="Times New Roman" w:eastAsia="Times New Roman" w:hAnsi="Times New Roman" w:cs="Times New Roman"/>
          <w:sz w:val="24"/>
          <w:szCs w:val="24"/>
        </w:rPr>
        <w:t xml:space="preserve">the redesign of benefit applications and </w:t>
      </w:r>
      <w:r w:rsidR="009862C8" w:rsidRPr="00FB16A0">
        <w:rPr>
          <w:rFonts w:ascii="Times New Roman" w:eastAsia="Times New Roman" w:hAnsi="Times New Roman" w:cs="Times New Roman"/>
          <w:sz w:val="24"/>
          <w:szCs w:val="24"/>
        </w:rPr>
        <w:t>other program materials.</w:t>
      </w:r>
      <w:r w:rsidR="00210E06">
        <w:rPr>
          <w:rFonts w:ascii="Times New Roman" w:eastAsia="Times New Roman" w:hAnsi="Times New Roman" w:cs="Times New Roman"/>
          <w:sz w:val="24"/>
          <w:szCs w:val="24"/>
        </w:rPr>
        <w:t xml:space="preserve"> DOF </w:t>
      </w:r>
      <w:r w:rsidR="00263C92">
        <w:rPr>
          <w:rFonts w:ascii="Times New Roman" w:eastAsia="Times New Roman" w:hAnsi="Times New Roman" w:cs="Times New Roman"/>
          <w:sz w:val="24"/>
          <w:szCs w:val="24"/>
        </w:rPr>
        <w:t xml:space="preserve">began with the most commonly used </w:t>
      </w:r>
      <w:r w:rsidR="00210E06">
        <w:rPr>
          <w:rFonts w:ascii="Times New Roman" w:eastAsia="Times New Roman" w:hAnsi="Times New Roman" w:cs="Times New Roman"/>
          <w:sz w:val="24"/>
          <w:szCs w:val="24"/>
        </w:rPr>
        <w:t>forms</w:t>
      </w:r>
      <w:r w:rsidR="00263C92">
        <w:rPr>
          <w:rFonts w:ascii="Times New Roman" w:eastAsia="Times New Roman" w:hAnsi="Times New Roman" w:cs="Times New Roman"/>
          <w:sz w:val="24"/>
          <w:szCs w:val="24"/>
        </w:rPr>
        <w:t xml:space="preserve"> required to access crucial benefit programs such as </w:t>
      </w:r>
      <w:r w:rsidR="002C79F1" w:rsidRPr="00FB16A0">
        <w:rPr>
          <w:rFonts w:ascii="Times New Roman" w:eastAsia="Times New Roman" w:hAnsi="Times New Roman" w:cs="Times New Roman"/>
          <w:sz w:val="24"/>
          <w:szCs w:val="24"/>
        </w:rPr>
        <w:t xml:space="preserve">SCRIE, DRIE, SCHE, </w:t>
      </w:r>
      <w:r w:rsidR="00E744F5" w:rsidRPr="00FB16A0">
        <w:rPr>
          <w:rFonts w:ascii="Times New Roman" w:eastAsia="Times New Roman" w:hAnsi="Times New Roman" w:cs="Times New Roman"/>
          <w:sz w:val="24"/>
          <w:szCs w:val="24"/>
        </w:rPr>
        <w:t>and DHE</w:t>
      </w:r>
      <w:r w:rsidR="00263C92">
        <w:rPr>
          <w:rFonts w:ascii="Times New Roman" w:eastAsia="Times New Roman" w:hAnsi="Times New Roman" w:cs="Times New Roman"/>
          <w:sz w:val="24"/>
          <w:szCs w:val="24"/>
        </w:rPr>
        <w:t>.</w:t>
      </w:r>
      <w:r w:rsidR="00B64CC4" w:rsidRPr="00FB16A0">
        <w:rPr>
          <w:rFonts w:ascii="Times New Roman" w:eastAsia="Times New Roman" w:hAnsi="Times New Roman" w:cs="Times New Roman"/>
          <w:sz w:val="24"/>
          <w:szCs w:val="24"/>
        </w:rPr>
        <w:t xml:space="preserve"> </w:t>
      </w:r>
      <w:r w:rsidR="00E744F5" w:rsidRPr="00FB16A0">
        <w:rPr>
          <w:rFonts w:ascii="Times New Roman" w:eastAsia="Times New Roman" w:hAnsi="Times New Roman" w:cs="Times New Roman"/>
          <w:sz w:val="24"/>
          <w:szCs w:val="24"/>
        </w:rPr>
        <w:t xml:space="preserve">DOF </w:t>
      </w:r>
      <w:r w:rsidR="00263C92">
        <w:rPr>
          <w:rFonts w:ascii="Times New Roman" w:eastAsia="Times New Roman" w:hAnsi="Times New Roman" w:cs="Times New Roman"/>
          <w:sz w:val="24"/>
          <w:szCs w:val="24"/>
        </w:rPr>
        <w:t xml:space="preserve">is working with </w:t>
      </w:r>
      <w:r w:rsidR="00E744F5" w:rsidRPr="00FB16A0">
        <w:rPr>
          <w:rFonts w:ascii="Times New Roman" w:eastAsia="Times New Roman" w:hAnsi="Times New Roman" w:cs="Times New Roman"/>
          <w:sz w:val="24"/>
          <w:szCs w:val="24"/>
        </w:rPr>
        <w:t xml:space="preserve">the </w:t>
      </w:r>
      <w:r w:rsidR="00111890" w:rsidRPr="00FB16A0">
        <w:rPr>
          <w:rFonts w:ascii="Times New Roman" w:eastAsia="Times New Roman" w:hAnsi="Times New Roman" w:cs="Times New Roman"/>
          <w:sz w:val="24"/>
          <w:szCs w:val="24"/>
        </w:rPr>
        <w:t>Social Security Administration</w:t>
      </w:r>
      <w:r w:rsidR="005A70CA" w:rsidRPr="00FB16A0">
        <w:rPr>
          <w:rFonts w:ascii="Times New Roman" w:eastAsia="Times New Roman" w:hAnsi="Times New Roman" w:cs="Times New Roman"/>
          <w:sz w:val="24"/>
          <w:szCs w:val="24"/>
        </w:rPr>
        <w:t xml:space="preserve"> </w:t>
      </w:r>
      <w:r w:rsidR="00664F7C">
        <w:rPr>
          <w:rFonts w:ascii="Times New Roman" w:eastAsia="Times New Roman" w:hAnsi="Times New Roman" w:cs="Times New Roman"/>
          <w:sz w:val="24"/>
          <w:szCs w:val="24"/>
        </w:rPr>
        <w:t>to establish</w:t>
      </w:r>
      <w:r w:rsidR="00263C92">
        <w:rPr>
          <w:rFonts w:ascii="Times New Roman" w:eastAsia="Times New Roman" w:hAnsi="Times New Roman" w:cs="Times New Roman"/>
          <w:sz w:val="24"/>
          <w:szCs w:val="24"/>
        </w:rPr>
        <w:t xml:space="preserve"> </w:t>
      </w:r>
      <w:r w:rsidR="00492715" w:rsidRPr="00FB16A0">
        <w:rPr>
          <w:rFonts w:ascii="Times New Roman" w:eastAsia="Times New Roman" w:hAnsi="Times New Roman" w:cs="Times New Roman"/>
          <w:sz w:val="24"/>
          <w:szCs w:val="24"/>
        </w:rPr>
        <w:t xml:space="preserve">direct access </w:t>
      </w:r>
      <w:r w:rsidR="00263C92">
        <w:rPr>
          <w:rFonts w:ascii="Times New Roman" w:eastAsia="Times New Roman" w:hAnsi="Times New Roman" w:cs="Times New Roman"/>
          <w:sz w:val="24"/>
          <w:szCs w:val="24"/>
        </w:rPr>
        <w:t>to program eligibility</w:t>
      </w:r>
      <w:r w:rsidR="00D52070">
        <w:rPr>
          <w:rFonts w:ascii="Times New Roman" w:eastAsia="Times New Roman" w:hAnsi="Times New Roman" w:cs="Times New Roman"/>
          <w:sz w:val="24"/>
          <w:szCs w:val="24"/>
        </w:rPr>
        <w:t xml:space="preserve"> information</w:t>
      </w:r>
      <w:r w:rsidR="00263C92">
        <w:rPr>
          <w:rFonts w:ascii="Times New Roman" w:eastAsia="Times New Roman" w:hAnsi="Times New Roman" w:cs="Times New Roman"/>
          <w:sz w:val="24"/>
          <w:szCs w:val="24"/>
        </w:rPr>
        <w:t xml:space="preserve"> </w:t>
      </w:r>
      <w:r w:rsidR="00AB6CFE">
        <w:rPr>
          <w:rFonts w:ascii="Times New Roman" w:eastAsia="Times New Roman" w:hAnsi="Times New Roman" w:cs="Times New Roman"/>
          <w:sz w:val="24"/>
          <w:szCs w:val="24"/>
        </w:rPr>
        <w:t xml:space="preserve">to </w:t>
      </w:r>
      <w:r w:rsidR="00263C92">
        <w:rPr>
          <w:rFonts w:ascii="Times New Roman" w:eastAsia="Times New Roman" w:hAnsi="Times New Roman" w:cs="Times New Roman"/>
          <w:sz w:val="24"/>
          <w:szCs w:val="24"/>
        </w:rPr>
        <w:t xml:space="preserve">reduce </w:t>
      </w:r>
      <w:r w:rsidR="008E766F">
        <w:rPr>
          <w:rFonts w:ascii="Times New Roman" w:eastAsia="Times New Roman" w:hAnsi="Times New Roman" w:cs="Times New Roman"/>
          <w:sz w:val="24"/>
          <w:szCs w:val="24"/>
        </w:rPr>
        <w:t>a program</w:t>
      </w:r>
      <w:r w:rsidR="00AB6CFE">
        <w:rPr>
          <w:rFonts w:ascii="Times New Roman" w:eastAsia="Times New Roman" w:hAnsi="Times New Roman" w:cs="Times New Roman"/>
          <w:sz w:val="24"/>
          <w:szCs w:val="24"/>
        </w:rPr>
        <w:t xml:space="preserve"> applicant’s </w:t>
      </w:r>
      <w:r w:rsidR="00263C92">
        <w:rPr>
          <w:rFonts w:ascii="Times New Roman" w:eastAsia="Times New Roman" w:hAnsi="Times New Roman" w:cs="Times New Roman"/>
          <w:sz w:val="24"/>
          <w:szCs w:val="24"/>
        </w:rPr>
        <w:t>burden</w:t>
      </w:r>
      <w:r w:rsidR="00263C92" w:rsidRPr="00FB16A0">
        <w:rPr>
          <w:rFonts w:ascii="Times New Roman" w:eastAsia="Times New Roman" w:hAnsi="Times New Roman" w:cs="Times New Roman"/>
          <w:sz w:val="24"/>
          <w:szCs w:val="24"/>
        </w:rPr>
        <w:t xml:space="preserve"> of </w:t>
      </w:r>
      <w:r w:rsidR="00263C92">
        <w:rPr>
          <w:rFonts w:ascii="Times New Roman" w:eastAsia="Times New Roman" w:hAnsi="Times New Roman" w:cs="Times New Roman"/>
          <w:sz w:val="24"/>
          <w:szCs w:val="24"/>
        </w:rPr>
        <w:t>locating</w:t>
      </w:r>
      <w:r w:rsidR="00AB6CFE">
        <w:rPr>
          <w:rFonts w:ascii="Times New Roman" w:eastAsia="Times New Roman" w:hAnsi="Times New Roman" w:cs="Times New Roman"/>
          <w:sz w:val="24"/>
          <w:szCs w:val="24"/>
        </w:rPr>
        <w:t xml:space="preserve"> records that </w:t>
      </w:r>
      <w:r w:rsidR="00263C92" w:rsidRPr="00FB16A0">
        <w:rPr>
          <w:rFonts w:ascii="Times New Roman" w:eastAsia="Times New Roman" w:hAnsi="Times New Roman" w:cs="Times New Roman"/>
          <w:sz w:val="24"/>
          <w:szCs w:val="24"/>
        </w:rPr>
        <w:t>might not readily be ava</w:t>
      </w:r>
      <w:r w:rsidR="008E766F">
        <w:rPr>
          <w:rFonts w:ascii="Times New Roman" w:eastAsia="Times New Roman" w:hAnsi="Times New Roman" w:cs="Times New Roman"/>
          <w:sz w:val="24"/>
          <w:szCs w:val="24"/>
        </w:rPr>
        <w:t>ilable</w:t>
      </w:r>
      <w:r w:rsidR="00971EAC">
        <w:rPr>
          <w:rFonts w:ascii="Times New Roman" w:eastAsia="Times New Roman" w:hAnsi="Times New Roman" w:cs="Times New Roman"/>
          <w:sz w:val="24"/>
          <w:szCs w:val="24"/>
        </w:rPr>
        <w:t>.</w:t>
      </w:r>
      <w:r w:rsidR="00AB6CFE">
        <w:rPr>
          <w:rFonts w:ascii="Times New Roman" w:eastAsia="Times New Roman" w:hAnsi="Times New Roman" w:cs="Times New Roman"/>
          <w:sz w:val="24"/>
          <w:szCs w:val="24"/>
        </w:rPr>
        <w:t xml:space="preserve"> DOF closely monitors application processing time and expects that these enhancements will improve </w:t>
      </w:r>
      <w:r w:rsidR="003C10D5">
        <w:rPr>
          <w:rFonts w:ascii="Times New Roman" w:eastAsia="Times New Roman" w:hAnsi="Times New Roman" w:cs="Times New Roman"/>
          <w:sz w:val="24"/>
          <w:szCs w:val="24"/>
        </w:rPr>
        <w:t>application cycle time</w:t>
      </w:r>
      <w:r w:rsidR="00263C92">
        <w:rPr>
          <w:rFonts w:ascii="Times New Roman" w:eastAsia="Times New Roman" w:hAnsi="Times New Roman" w:cs="Times New Roman"/>
          <w:sz w:val="24"/>
          <w:szCs w:val="24"/>
        </w:rPr>
        <w:t>.</w:t>
      </w:r>
    </w:p>
    <w:p w:rsidR="00263C92" w:rsidRDefault="00263C92" w:rsidP="00B64CC4">
      <w:pPr>
        <w:pStyle w:val="ListParagraph"/>
        <w:shd w:val="clear" w:color="auto" w:fill="FFFFFF"/>
        <w:spacing w:before="100" w:beforeAutospacing="1" w:after="100" w:afterAutospacing="1" w:line="300" w:lineRule="atLeast"/>
        <w:ind w:left="0"/>
        <w:rPr>
          <w:rFonts w:ascii="Times New Roman" w:eastAsia="Times New Roman" w:hAnsi="Times New Roman" w:cs="Times New Roman"/>
          <w:sz w:val="24"/>
          <w:szCs w:val="24"/>
        </w:rPr>
      </w:pPr>
    </w:p>
    <w:p w:rsidR="0026451F" w:rsidRDefault="00AB6CFE" w:rsidP="00167AEE">
      <w:pPr>
        <w:pStyle w:val="ListParagraph"/>
        <w:shd w:val="clear" w:color="auto" w:fill="FFFFFF"/>
        <w:spacing w:before="100" w:beforeAutospacing="1" w:after="100" w:afterAutospacing="1" w:line="300"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DOF has a comprehensive</w:t>
      </w:r>
      <w:r w:rsidR="00664F7C">
        <w:rPr>
          <w:rFonts w:ascii="Times New Roman" w:eastAsia="Times New Roman" w:hAnsi="Times New Roman" w:cs="Times New Roman"/>
          <w:sz w:val="24"/>
          <w:szCs w:val="24"/>
        </w:rPr>
        <w:t>,</w:t>
      </w:r>
      <w:r w:rsidR="0026451F">
        <w:rPr>
          <w:rFonts w:ascii="Times New Roman" w:eastAsia="Times New Roman" w:hAnsi="Times New Roman" w:cs="Times New Roman"/>
          <w:sz w:val="24"/>
          <w:szCs w:val="24"/>
        </w:rPr>
        <w:t xml:space="preserve"> agency-wide </w:t>
      </w:r>
      <w:r>
        <w:rPr>
          <w:rFonts w:ascii="Times New Roman" w:eastAsia="Times New Roman" w:hAnsi="Times New Roman" w:cs="Times New Roman"/>
          <w:sz w:val="24"/>
          <w:szCs w:val="24"/>
        </w:rPr>
        <w:t xml:space="preserve">language access plan and </w:t>
      </w:r>
      <w:r w:rsidR="0026451F">
        <w:rPr>
          <w:rFonts w:ascii="Times New Roman" w:eastAsia="Times New Roman" w:hAnsi="Times New Roman" w:cs="Times New Roman"/>
          <w:sz w:val="24"/>
          <w:szCs w:val="24"/>
        </w:rPr>
        <w:t>provides translations to members of the public w</w:t>
      </w:r>
      <w:r w:rsidR="00971EAC">
        <w:rPr>
          <w:rFonts w:ascii="Times New Roman" w:eastAsia="Times New Roman" w:hAnsi="Times New Roman" w:cs="Times New Roman"/>
          <w:sz w:val="24"/>
          <w:szCs w:val="24"/>
        </w:rPr>
        <w:t xml:space="preserve">ho are not English proficient. </w:t>
      </w:r>
      <w:r w:rsidR="0026451F">
        <w:rPr>
          <w:rFonts w:ascii="Times New Roman" w:eastAsia="Times New Roman" w:hAnsi="Times New Roman" w:cs="Times New Roman"/>
          <w:sz w:val="24"/>
          <w:szCs w:val="24"/>
        </w:rPr>
        <w:t xml:space="preserve">DOF </w:t>
      </w:r>
      <w:r>
        <w:rPr>
          <w:rFonts w:ascii="Times New Roman" w:eastAsia="Times New Roman" w:hAnsi="Times New Roman" w:cs="Times New Roman"/>
          <w:sz w:val="24"/>
          <w:szCs w:val="24"/>
        </w:rPr>
        <w:t>c</w:t>
      </w:r>
      <w:r w:rsidR="00CA35FB">
        <w:rPr>
          <w:rFonts w:ascii="Times New Roman" w:eastAsia="Times New Roman" w:hAnsi="Times New Roman" w:cs="Times New Roman"/>
          <w:sz w:val="24"/>
          <w:szCs w:val="24"/>
        </w:rPr>
        <w:t>urrently</w:t>
      </w:r>
      <w:r>
        <w:rPr>
          <w:rFonts w:ascii="Times New Roman" w:eastAsia="Times New Roman" w:hAnsi="Times New Roman" w:cs="Times New Roman"/>
          <w:sz w:val="24"/>
          <w:szCs w:val="24"/>
        </w:rPr>
        <w:t xml:space="preserve"> provides </w:t>
      </w:r>
      <w:r w:rsidR="00CA35FB">
        <w:rPr>
          <w:rFonts w:ascii="Times New Roman" w:eastAsia="Times New Roman" w:hAnsi="Times New Roman" w:cs="Times New Roman"/>
          <w:sz w:val="24"/>
          <w:szCs w:val="24"/>
        </w:rPr>
        <w:t>twenty-nine (29)</w:t>
      </w:r>
      <w:r w:rsidR="00076EBE">
        <w:rPr>
          <w:rFonts w:ascii="Times New Roman" w:eastAsia="Times New Roman" w:hAnsi="Times New Roman" w:cs="Times New Roman"/>
          <w:sz w:val="24"/>
          <w:szCs w:val="24"/>
        </w:rPr>
        <w:t xml:space="preserve"> </w:t>
      </w:r>
      <w:r w:rsidR="0026451F">
        <w:rPr>
          <w:rFonts w:ascii="Times New Roman" w:eastAsia="Times New Roman" w:hAnsi="Times New Roman" w:cs="Times New Roman"/>
          <w:sz w:val="24"/>
          <w:szCs w:val="24"/>
        </w:rPr>
        <w:t>official</w:t>
      </w:r>
      <w:r w:rsidR="00263C92">
        <w:rPr>
          <w:rFonts w:ascii="Times New Roman" w:eastAsia="Times New Roman" w:hAnsi="Times New Roman" w:cs="Times New Roman"/>
          <w:sz w:val="24"/>
          <w:szCs w:val="24"/>
        </w:rPr>
        <w:t xml:space="preserve"> </w:t>
      </w:r>
      <w:r w:rsidR="00CA35FB">
        <w:rPr>
          <w:rFonts w:ascii="Times New Roman" w:eastAsia="Times New Roman" w:hAnsi="Times New Roman" w:cs="Times New Roman"/>
          <w:sz w:val="24"/>
          <w:szCs w:val="24"/>
        </w:rPr>
        <w:t>forms and notices</w:t>
      </w:r>
      <w:r w:rsidR="00076EBE">
        <w:rPr>
          <w:rFonts w:ascii="Times New Roman" w:eastAsia="Times New Roman" w:hAnsi="Times New Roman" w:cs="Times New Roman"/>
          <w:sz w:val="24"/>
          <w:szCs w:val="24"/>
        </w:rPr>
        <w:t xml:space="preserve"> </w:t>
      </w:r>
      <w:r w:rsidR="0026451F">
        <w:rPr>
          <w:rFonts w:ascii="Times New Roman" w:eastAsia="Times New Roman" w:hAnsi="Times New Roman" w:cs="Times New Roman"/>
          <w:sz w:val="24"/>
          <w:szCs w:val="24"/>
        </w:rPr>
        <w:t>in</w:t>
      </w:r>
      <w:r w:rsidR="00076EBE">
        <w:rPr>
          <w:rFonts w:ascii="Times New Roman" w:eastAsia="Times New Roman" w:hAnsi="Times New Roman" w:cs="Times New Roman"/>
          <w:sz w:val="24"/>
          <w:szCs w:val="24"/>
        </w:rPr>
        <w:t xml:space="preserve"> </w:t>
      </w:r>
      <w:r w:rsidR="00A346BB">
        <w:rPr>
          <w:rFonts w:ascii="Times New Roman" w:eastAsia="Times New Roman" w:hAnsi="Times New Roman" w:cs="Times New Roman"/>
          <w:sz w:val="24"/>
          <w:szCs w:val="24"/>
        </w:rPr>
        <w:t>multiple</w:t>
      </w:r>
      <w:r w:rsidR="00CA35FB">
        <w:rPr>
          <w:rFonts w:ascii="Times New Roman" w:eastAsia="Times New Roman" w:hAnsi="Times New Roman" w:cs="Times New Roman"/>
          <w:sz w:val="24"/>
          <w:szCs w:val="24"/>
        </w:rPr>
        <w:t xml:space="preserve"> languages. </w:t>
      </w:r>
      <w:r w:rsidR="00076EBE">
        <w:rPr>
          <w:rFonts w:ascii="Times New Roman" w:eastAsia="Times New Roman" w:hAnsi="Times New Roman" w:cs="Times New Roman"/>
          <w:sz w:val="24"/>
          <w:szCs w:val="24"/>
        </w:rPr>
        <w:t>DOF is in the process of evaluating wh</w:t>
      </w:r>
      <w:r w:rsidR="0026451F">
        <w:rPr>
          <w:rFonts w:ascii="Times New Roman" w:eastAsia="Times New Roman" w:hAnsi="Times New Roman" w:cs="Times New Roman"/>
          <w:sz w:val="24"/>
          <w:szCs w:val="24"/>
        </w:rPr>
        <w:t xml:space="preserve">ether there are additional </w:t>
      </w:r>
      <w:r w:rsidR="00076EBE">
        <w:rPr>
          <w:rFonts w:ascii="Times New Roman" w:eastAsia="Times New Roman" w:hAnsi="Times New Roman" w:cs="Times New Roman"/>
          <w:sz w:val="24"/>
          <w:szCs w:val="24"/>
        </w:rPr>
        <w:t xml:space="preserve">notices </w:t>
      </w:r>
      <w:r w:rsidR="008E766F">
        <w:rPr>
          <w:rFonts w:ascii="Times New Roman" w:eastAsia="Times New Roman" w:hAnsi="Times New Roman" w:cs="Times New Roman"/>
          <w:sz w:val="24"/>
          <w:szCs w:val="24"/>
        </w:rPr>
        <w:t xml:space="preserve">that should be provided in multiple languages. </w:t>
      </w:r>
    </w:p>
    <w:p w:rsidR="00487B42" w:rsidRPr="00D92E56" w:rsidRDefault="00487B42" w:rsidP="009862C8">
      <w:pPr>
        <w:keepNext/>
        <w:shd w:val="clear" w:color="auto" w:fill="FFFFFF"/>
        <w:spacing w:before="100" w:beforeAutospacing="1" w:after="100" w:afterAutospacing="1" w:line="300" w:lineRule="atLeast"/>
        <w:rPr>
          <w:rFonts w:ascii="Times New Roman" w:eastAsia="Times New Roman" w:hAnsi="Times New Roman" w:cs="Times New Roman"/>
          <w:sz w:val="24"/>
          <w:szCs w:val="24"/>
          <w:u w:val="single"/>
        </w:rPr>
      </w:pPr>
      <w:r w:rsidRPr="00D92E56">
        <w:rPr>
          <w:rFonts w:ascii="Times New Roman" w:hAnsi="Times New Roman" w:cs="Times New Roman"/>
          <w:b/>
          <w:bCs/>
          <w:iCs/>
          <w:sz w:val="24"/>
          <w:szCs w:val="24"/>
          <w:u w:val="single"/>
        </w:rPr>
        <w:t xml:space="preserve">Recommendation </w:t>
      </w:r>
      <w:r w:rsidR="006A42C6" w:rsidRPr="00D92E56">
        <w:rPr>
          <w:rFonts w:ascii="Times New Roman" w:hAnsi="Times New Roman" w:cs="Times New Roman"/>
          <w:b/>
          <w:bCs/>
          <w:iCs/>
          <w:sz w:val="24"/>
          <w:szCs w:val="24"/>
          <w:u w:val="single"/>
        </w:rPr>
        <w:t xml:space="preserve">No. </w:t>
      </w:r>
      <w:r w:rsidRPr="00D92E56">
        <w:rPr>
          <w:rFonts w:ascii="Times New Roman" w:hAnsi="Times New Roman" w:cs="Times New Roman"/>
          <w:b/>
          <w:bCs/>
          <w:iCs/>
          <w:sz w:val="24"/>
          <w:szCs w:val="24"/>
          <w:u w:val="single"/>
        </w:rPr>
        <w:t>2</w:t>
      </w:r>
    </w:p>
    <w:p w:rsidR="00D92E56" w:rsidRDefault="00636114" w:rsidP="00D92E56">
      <w:pPr>
        <w:pStyle w:val="ListParagraph"/>
        <w:keepNext/>
        <w:shd w:val="clear" w:color="auto" w:fill="FFFFFF"/>
        <w:tabs>
          <w:tab w:val="left" w:pos="810"/>
          <w:tab w:val="left" w:pos="990"/>
        </w:tabs>
        <w:spacing w:before="100" w:beforeAutospacing="1" w:after="100" w:afterAutospacing="1" w:line="300" w:lineRule="atLeast"/>
        <w:ind w:left="0"/>
        <w:rPr>
          <w:rFonts w:ascii="Times New Roman" w:eastAsia="Times New Roman" w:hAnsi="Times New Roman" w:cs="Times New Roman"/>
          <w:b/>
          <w:i/>
          <w:sz w:val="24"/>
          <w:szCs w:val="24"/>
        </w:rPr>
      </w:pPr>
      <w:r w:rsidRPr="00636114">
        <w:rPr>
          <w:rFonts w:ascii="Times New Roman" w:hAnsi="Times New Roman" w:cs="Times New Roman"/>
          <w:b/>
          <w:i/>
          <w:sz w:val="24"/>
          <w:szCs w:val="24"/>
        </w:rPr>
        <w:t xml:space="preserve">Study the benefits and costs of creating an internal call center and removing DOF inquiries from </w:t>
      </w:r>
      <w:r w:rsidR="00635163" w:rsidRPr="00636114">
        <w:rPr>
          <w:rFonts w:ascii="Times New Roman" w:hAnsi="Times New Roman" w:cs="Times New Roman"/>
          <w:b/>
          <w:i/>
          <w:sz w:val="24"/>
          <w:szCs w:val="24"/>
        </w:rPr>
        <w:t>311</w:t>
      </w:r>
      <w:r w:rsidR="002A6A91" w:rsidRPr="00636114">
        <w:rPr>
          <w:rFonts w:ascii="Times New Roman" w:hAnsi="Times New Roman" w:cs="Times New Roman"/>
          <w:b/>
          <w:i/>
          <w:sz w:val="24"/>
          <w:szCs w:val="24"/>
        </w:rPr>
        <w:t>.</w:t>
      </w:r>
    </w:p>
    <w:p w:rsidR="00D92E56" w:rsidRDefault="00D92E56" w:rsidP="00D92E56">
      <w:pPr>
        <w:pStyle w:val="ListParagraph"/>
        <w:keepNext/>
        <w:shd w:val="clear" w:color="auto" w:fill="FFFFFF"/>
        <w:tabs>
          <w:tab w:val="left" w:pos="810"/>
          <w:tab w:val="left" w:pos="990"/>
        </w:tabs>
        <w:spacing w:before="100" w:beforeAutospacing="1" w:after="100" w:afterAutospacing="1" w:line="300" w:lineRule="atLeast"/>
        <w:ind w:left="0"/>
        <w:rPr>
          <w:rFonts w:ascii="Times New Roman" w:eastAsia="Times New Roman" w:hAnsi="Times New Roman" w:cs="Times New Roman"/>
          <w:b/>
          <w:i/>
          <w:sz w:val="24"/>
          <w:szCs w:val="24"/>
        </w:rPr>
      </w:pPr>
    </w:p>
    <w:p w:rsidR="00D92E56" w:rsidRPr="00D92E56" w:rsidRDefault="00D92E56" w:rsidP="00D92E56">
      <w:pPr>
        <w:pStyle w:val="ListParagraph"/>
        <w:keepNext/>
        <w:shd w:val="clear" w:color="auto" w:fill="FFFFFF"/>
        <w:tabs>
          <w:tab w:val="left" w:pos="810"/>
          <w:tab w:val="left" w:pos="990"/>
        </w:tabs>
        <w:spacing w:before="100" w:beforeAutospacing="1" w:after="100" w:afterAutospacing="1" w:line="300" w:lineRule="atLeast"/>
        <w:ind w:left="0"/>
        <w:rPr>
          <w:rFonts w:ascii="Times New Roman" w:hAnsi="Times New Roman" w:cs="Times New Roman"/>
          <w:b/>
          <w:sz w:val="24"/>
          <w:szCs w:val="24"/>
        </w:rPr>
      </w:pPr>
      <w:r w:rsidRPr="00D92E56">
        <w:rPr>
          <w:rFonts w:ascii="Times New Roman" w:hAnsi="Times New Roman" w:cs="Times New Roman"/>
          <w:b/>
          <w:sz w:val="24"/>
          <w:szCs w:val="24"/>
        </w:rPr>
        <w:t xml:space="preserve">DOF </w:t>
      </w:r>
      <w:r w:rsidR="00D52070">
        <w:rPr>
          <w:rFonts w:ascii="Times New Roman" w:hAnsi="Times New Roman" w:cs="Times New Roman"/>
          <w:b/>
          <w:sz w:val="24"/>
          <w:szCs w:val="24"/>
        </w:rPr>
        <w:t>Action</w:t>
      </w:r>
      <w:r w:rsidRPr="00D92E56">
        <w:rPr>
          <w:rFonts w:ascii="Times New Roman" w:hAnsi="Times New Roman" w:cs="Times New Roman"/>
          <w:b/>
          <w:sz w:val="24"/>
          <w:szCs w:val="24"/>
        </w:rPr>
        <w:t>:</w:t>
      </w:r>
    </w:p>
    <w:p w:rsidR="00D92E56" w:rsidRPr="00D92E56" w:rsidRDefault="00D92E56" w:rsidP="00D92E56">
      <w:pPr>
        <w:pStyle w:val="ListParagraph"/>
        <w:keepNext/>
        <w:shd w:val="clear" w:color="auto" w:fill="FFFFFF"/>
        <w:tabs>
          <w:tab w:val="left" w:pos="810"/>
          <w:tab w:val="left" w:pos="990"/>
        </w:tabs>
        <w:spacing w:before="100" w:beforeAutospacing="1" w:after="100" w:afterAutospacing="1" w:line="300" w:lineRule="atLeast"/>
        <w:ind w:left="0"/>
        <w:rPr>
          <w:rFonts w:ascii="Times New Roman" w:hAnsi="Times New Roman" w:cs="Times New Roman"/>
          <w:b/>
          <w:sz w:val="24"/>
          <w:szCs w:val="24"/>
        </w:rPr>
      </w:pPr>
    </w:p>
    <w:p w:rsidR="00CA35FB" w:rsidRPr="005278B3" w:rsidRDefault="0026451F" w:rsidP="00625C3A">
      <w:pPr>
        <w:pStyle w:val="ListParagraph"/>
        <w:shd w:val="clear" w:color="auto" w:fill="FFFFFF"/>
        <w:tabs>
          <w:tab w:val="left" w:pos="810"/>
          <w:tab w:val="left" w:pos="990"/>
        </w:tabs>
        <w:spacing w:before="100" w:beforeAutospacing="1" w:after="100" w:afterAutospacing="1" w:line="300"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DOF </w:t>
      </w:r>
      <w:r w:rsidR="00625C3A">
        <w:rPr>
          <w:rFonts w:ascii="Times New Roman" w:eastAsia="Times New Roman" w:hAnsi="Times New Roman" w:cs="Times New Roman"/>
          <w:sz w:val="24"/>
          <w:szCs w:val="24"/>
        </w:rPr>
        <w:t xml:space="preserve">believes that taxpayers would greatly benefit from an internal DOF call center and is </w:t>
      </w:r>
      <w:r>
        <w:rPr>
          <w:rFonts w:ascii="Times New Roman" w:eastAsia="Times New Roman" w:hAnsi="Times New Roman" w:cs="Times New Roman"/>
          <w:sz w:val="24"/>
          <w:szCs w:val="24"/>
        </w:rPr>
        <w:t xml:space="preserve">working toward </w:t>
      </w:r>
      <w:r w:rsidR="00971EAC">
        <w:rPr>
          <w:rFonts w:ascii="Times New Roman" w:eastAsia="Times New Roman" w:hAnsi="Times New Roman" w:cs="Times New Roman"/>
          <w:sz w:val="24"/>
          <w:szCs w:val="24"/>
        </w:rPr>
        <w:t xml:space="preserve">that end. </w:t>
      </w:r>
      <w:r w:rsidR="00F350F6">
        <w:rPr>
          <w:rFonts w:ascii="Times New Roman" w:hAnsi="Times New Roman"/>
          <w:sz w:val="24"/>
          <w:szCs w:val="24"/>
        </w:rPr>
        <w:t xml:space="preserve">311 representatives work closely with DOF staff to develop scripts that answer many inquiries callers </w:t>
      </w:r>
      <w:r w:rsidR="00F350F6" w:rsidRPr="00F350F6">
        <w:rPr>
          <w:rFonts w:ascii="Times New Roman" w:hAnsi="Times New Roman"/>
          <w:sz w:val="24"/>
          <w:szCs w:val="24"/>
        </w:rPr>
        <w:t xml:space="preserve">have regarding DOF matters. When representatives are </w:t>
      </w:r>
      <w:r>
        <w:rPr>
          <w:rFonts w:ascii="Times New Roman" w:hAnsi="Times New Roman"/>
          <w:sz w:val="24"/>
          <w:szCs w:val="24"/>
        </w:rPr>
        <w:t>un</w:t>
      </w:r>
      <w:r w:rsidR="00F350F6" w:rsidRPr="00F350F6">
        <w:rPr>
          <w:rFonts w:ascii="Times New Roman" w:hAnsi="Times New Roman"/>
          <w:sz w:val="24"/>
          <w:szCs w:val="24"/>
        </w:rPr>
        <w:t xml:space="preserve">able to </w:t>
      </w:r>
      <w:r w:rsidR="00F350F6" w:rsidRPr="00F350F6">
        <w:rPr>
          <w:rFonts w:ascii="Times New Roman" w:hAnsi="Times New Roman"/>
          <w:sz w:val="24"/>
          <w:szCs w:val="24"/>
        </w:rPr>
        <w:lastRenderedPageBreak/>
        <w:t xml:space="preserve">provide </w:t>
      </w:r>
      <w:r w:rsidR="008E766F">
        <w:rPr>
          <w:rFonts w:ascii="Times New Roman" w:hAnsi="Times New Roman"/>
          <w:sz w:val="24"/>
          <w:szCs w:val="24"/>
        </w:rPr>
        <w:t>an answer to an inquiry, the</w:t>
      </w:r>
      <w:r w:rsidR="00F350F6" w:rsidRPr="00F350F6">
        <w:rPr>
          <w:rFonts w:ascii="Times New Roman" w:hAnsi="Times New Roman"/>
          <w:sz w:val="24"/>
          <w:szCs w:val="24"/>
        </w:rPr>
        <w:t xml:space="preserve"> caller </w:t>
      </w:r>
      <w:r w:rsidR="008E766F">
        <w:rPr>
          <w:rFonts w:ascii="Times New Roman" w:hAnsi="Times New Roman"/>
          <w:sz w:val="24"/>
          <w:szCs w:val="24"/>
        </w:rPr>
        <w:t xml:space="preserve">is referred </w:t>
      </w:r>
      <w:r w:rsidR="00F350F6" w:rsidRPr="00F350F6">
        <w:rPr>
          <w:rFonts w:ascii="Times New Roman" w:hAnsi="Times New Roman"/>
          <w:sz w:val="24"/>
          <w:szCs w:val="24"/>
        </w:rPr>
        <w:t xml:space="preserve">to </w:t>
      </w:r>
      <w:r w:rsidR="008E766F">
        <w:rPr>
          <w:rFonts w:ascii="Times New Roman" w:hAnsi="Times New Roman"/>
          <w:sz w:val="24"/>
          <w:szCs w:val="24"/>
        </w:rPr>
        <w:t xml:space="preserve">DOF </w:t>
      </w:r>
      <w:r w:rsidR="00F350F6" w:rsidRPr="00F350F6">
        <w:rPr>
          <w:rFonts w:ascii="Times New Roman" w:hAnsi="Times New Roman"/>
          <w:sz w:val="24"/>
          <w:szCs w:val="24"/>
        </w:rPr>
        <w:t xml:space="preserve">for a response through a Service Request. Last fiscal year, approximately </w:t>
      </w:r>
      <w:r w:rsidR="00785CC0">
        <w:rPr>
          <w:rFonts w:ascii="Times New Roman" w:hAnsi="Times New Roman"/>
          <w:sz w:val="24"/>
          <w:szCs w:val="24"/>
        </w:rPr>
        <w:t>43,800</w:t>
      </w:r>
      <w:r w:rsidR="00F350F6" w:rsidRPr="00F350F6">
        <w:rPr>
          <w:rFonts w:ascii="Times New Roman" w:hAnsi="Times New Roman"/>
          <w:sz w:val="24"/>
          <w:szCs w:val="24"/>
        </w:rPr>
        <w:t xml:space="preserve"> Service Requests </w:t>
      </w:r>
      <w:r w:rsidR="008E766F">
        <w:rPr>
          <w:rFonts w:ascii="Times New Roman" w:hAnsi="Times New Roman"/>
          <w:sz w:val="24"/>
          <w:szCs w:val="24"/>
        </w:rPr>
        <w:t xml:space="preserve">were </w:t>
      </w:r>
      <w:r w:rsidR="00F350F6" w:rsidRPr="00F350F6">
        <w:rPr>
          <w:rFonts w:ascii="Times New Roman" w:hAnsi="Times New Roman"/>
          <w:sz w:val="24"/>
          <w:szCs w:val="24"/>
        </w:rPr>
        <w:t>referred by 311 to DOF in addition to approximately 982,</w:t>
      </w:r>
      <w:r w:rsidR="00785CC0">
        <w:rPr>
          <w:rFonts w:ascii="Times New Roman" w:hAnsi="Times New Roman"/>
          <w:sz w:val="24"/>
          <w:szCs w:val="24"/>
        </w:rPr>
        <w:t>5</w:t>
      </w:r>
      <w:r w:rsidR="00F350F6" w:rsidRPr="00F350F6">
        <w:rPr>
          <w:rFonts w:ascii="Times New Roman" w:hAnsi="Times New Roman"/>
          <w:sz w:val="24"/>
          <w:szCs w:val="24"/>
        </w:rPr>
        <w:t>00 inquiries (including all Finance issues) handled by 311 representatives.</w:t>
      </w:r>
      <w:r w:rsidR="00F350F6">
        <w:rPr>
          <w:rFonts w:ascii="Times New Roman" w:hAnsi="Times New Roman"/>
          <w:sz w:val="24"/>
          <w:szCs w:val="24"/>
        </w:rPr>
        <w:t xml:space="preserve"> This model </w:t>
      </w:r>
      <w:r>
        <w:rPr>
          <w:rFonts w:ascii="Times New Roman" w:hAnsi="Times New Roman"/>
          <w:sz w:val="24"/>
          <w:szCs w:val="24"/>
        </w:rPr>
        <w:t xml:space="preserve">appears to </w:t>
      </w:r>
      <w:r w:rsidR="00F350F6">
        <w:rPr>
          <w:rFonts w:ascii="Times New Roman" w:hAnsi="Times New Roman"/>
          <w:sz w:val="24"/>
          <w:szCs w:val="24"/>
        </w:rPr>
        <w:t xml:space="preserve">work </w:t>
      </w:r>
      <w:r w:rsidR="00F350F6" w:rsidRPr="00F350F6">
        <w:rPr>
          <w:rFonts w:ascii="Times New Roman" w:hAnsi="Times New Roman"/>
          <w:sz w:val="24"/>
          <w:szCs w:val="24"/>
        </w:rPr>
        <w:t>well for many cases</w:t>
      </w:r>
      <w:r w:rsidR="008448CD">
        <w:rPr>
          <w:rFonts w:ascii="Times New Roman" w:hAnsi="Times New Roman"/>
          <w:sz w:val="24"/>
          <w:szCs w:val="24"/>
        </w:rPr>
        <w:t>,</w:t>
      </w:r>
      <w:r w:rsidR="00F350F6" w:rsidRPr="00F350F6">
        <w:rPr>
          <w:rFonts w:ascii="Times New Roman" w:hAnsi="Times New Roman"/>
          <w:sz w:val="24"/>
          <w:szCs w:val="24"/>
        </w:rPr>
        <w:t xml:space="preserve"> </w:t>
      </w:r>
      <w:r w:rsidR="00123A67">
        <w:rPr>
          <w:rFonts w:ascii="Times New Roman" w:hAnsi="Times New Roman"/>
          <w:sz w:val="24"/>
          <w:szCs w:val="24"/>
        </w:rPr>
        <w:t>such as</w:t>
      </w:r>
      <w:r w:rsidR="00D52070">
        <w:rPr>
          <w:rFonts w:ascii="Times New Roman" w:hAnsi="Times New Roman"/>
          <w:sz w:val="24"/>
          <w:szCs w:val="24"/>
        </w:rPr>
        <w:t xml:space="preserve"> inquiries about parking regulations, </w:t>
      </w:r>
      <w:r w:rsidR="00F350F6" w:rsidRPr="00F350F6">
        <w:rPr>
          <w:rFonts w:ascii="Times New Roman" w:hAnsi="Times New Roman"/>
          <w:sz w:val="24"/>
          <w:szCs w:val="24"/>
        </w:rPr>
        <w:t>based on the large volume of inquiries 311 han</w:t>
      </w:r>
      <w:r w:rsidR="004E5F22">
        <w:rPr>
          <w:rFonts w:ascii="Times New Roman" w:hAnsi="Times New Roman"/>
          <w:sz w:val="24"/>
          <w:szCs w:val="24"/>
        </w:rPr>
        <w:t>dles that do not require follow-</w:t>
      </w:r>
      <w:r w:rsidR="00F350F6" w:rsidRPr="00F350F6">
        <w:rPr>
          <w:rFonts w:ascii="Times New Roman" w:hAnsi="Times New Roman"/>
          <w:sz w:val="24"/>
          <w:szCs w:val="24"/>
        </w:rPr>
        <w:t>up.</w:t>
      </w:r>
      <w:r>
        <w:rPr>
          <w:rFonts w:ascii="Times New Roman" w:hAnsi="Times New Roman"/>
          <w:sz w:val="24"/>
          <w:szCs w:val="24"/>
        </w:rPr>
        <w:t xml:space="preserve"> </w:t>
      </w:r>
      <w:r w:rsidR="00CA35FB">
        <w:rPr>
          <w:rFonts w:ascii="Times New Roman" w:eastAsia="Times New Roman" w:hAnsi="Times New Roman" w:cs="Times New Roman"/>
          <w:sz w:val="24"/>
          <w:szCs w:val="24"/>
        </w:rPr>
        <w:t xml:space="preserve">However, due to the complexity and multitude of business and income </w:t>
      </w:r>
      <w:r>
        <w:rPr>
          <w:rFonts w:ascii="Times New Roman" w:eastAsia="Times New Roman" w:hAnsi="Times New Roman" w:cs="Times New Roman"/>
          <w:sz w:val="24"/>
          <w:szCs w:val="24"/>
        </w:rPr>
        <w:t xml:space="preserve">and property </w:t>
      </w:r>
      <w:r w:rsidR="008448CD">
        <w:rPr>
          <w:rFonts w:ascii="Times New Roman" w:eastAsia="Times New Roman" w:hAnsi="Times New Roman" w:cs="Times New Roman"/>
          <w:sz w:val="24"/>
          <w:szCs w:val="24"/>
        </w:rPr>
        <w:t xml:space="preserve">tax issues and </w:t>
      </w:r>
      <w:r w:rsidR="00CA35FB">
        <w:rPr>
          <w:rFonts w:ascii="Times New Roman" w:eastAsia="Times New Roman" w:hAnsi="Times New Roman" w:cs="Times New Roman"/>
          <w:sz w:val="24"/>
          <w:szCs w:val="24"/>
        </w:rPr>
        <w:t xml:space="preserve">issues of </w:t>
      </w:r>
      <w:r w:rsidR="00625C3A">
        <w:rPr>
          <w:rFonts w:ascii="Times New Roman" w:eastAsia="Times New Roman" w:hAnsi="Times New Roman" w:cs="Times New Roman"/>
          <w:sz w:val="24"/>
          <w:szCs w:val="24"/>
        </w:rPr>
        <w:t xml:space="preserve">confidential </w:t>
      </w:r>
      <w:r w:rsidR="00CA35FB">
        <w:rPr>
          <w:rFonts w:ascii="Times New Roman" w:eastAsia="Times New Roman" w:hAnsi="Times New Roman" w:cs="Times New Roman"/>
          <w:sz w:val="24"/>
          <w:szCs w:val="24"/>
        </w:rPr>
        <w:t xml:space="preserve">tax secrecy and taxpayer privacy, 311 is </w:t>
      </w:r>
      <w:r>
        <w:rPr>
          <w:rFonts w:ascii="Times New Roman" w:eastAsia="Times New Roman" w:hAnsi="Times New Roman" w:cs="Times New Roman"/>
          <w:sz w:val="24"/>
          <w:szCs w:val="24"/>
        </w:rPr>
        <w:t xml:space="preserve">unable to </w:t>
      </w:r>
      <w:r w:rsidR="00CA35FB">
        <w:rPr>
          <w:rFonts w:ascii="Times New Roman" w:eastAsia="Times New Roman" w:hAnsi="Times New Roman" w:cs="Times New Roman"/>
          <w:sz w:val="24"/>
          <w:szCs w:val="24"/>
        </w:rPr>
        <w:t xml:space="preserve">address </w:t>
      </w:r>
      <w:r>
        <w:rPr>
          <w:rFonts w:ascii="Times New Roman" w:eastAsia="Times New Roman" w:hAnsi="Times New Roman" w:cs="Times New Roman"/>
          <w:sz w:val="24"/>
          <w:szCs w:val="24"/>
        </w:rPr>
        <w:t xml:space="preserve">most </w:t>
      </w:r>
      <w:r w:rsidR="00CA35FB">
        <w:rPr>
          <w:rFonts w:ascii="Times New Roman" w:eastAsia="Times New Roman" w:hAnsi="Times New Roman" w:cs="Times New Roman"/>
          <w:sz w:val="24"/>
          <w:szCs w:val="24"/>
        </w:rPr>
        <w:t xml:space="preserve">substantive tax-related inquiries. DOF </w:t>
      </w:r>
      <w:r>
        <w:rPr>
          <w:rFonts w:ascii="Times New Roman" w:eastAsia="Times New Roman" w:hAnsi="Times New Roman" w:cs="Times New Roman"/>
          <w:sz w:val="24"/>
          <w:szCs w:val="24"/>
        </w:rPr>
        <w:t xml:space="preserve">and OTA </w:t>
      </w:r>
      <w:r w:rsidR="00CA35FB">
        <w:rPr>
          <w:rFonts w:ascii="Times New Roman" w:eastAsia="Times New Roman" w:hAnsi="Times New Roman" w:cs="Times New Roman"/>
          <w:sz w:val="24"/>
          <w:szCs w:val="24"/>
        </w:rPr>
        <w:t xml:space="preserve">receive many complaints </w:t>
      </w:r>
      <w:r>
        <w:rPr>
          <w:rFonts w:ascii="Times New Roman" w:eastAsia="Times New Roman" w:hAnsi="Times New Roman" w:cs="Times New Roman"/>
          <w:sz w:val="24"/>
          <w:szCs w:val="24"/>
        </w:rPr>
        <w:t xml:space="preserve">from taxpayers who </w:t>
      </w:r>
      <w:r w:rsidR="00625C3A">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not able to res</w:t>
      </w:r>
      <w:r w:rsidR="00971EAC">
        <w:rPr>
          <w:rFonts w:ascii="Times New Roman" w:eastAsia="Times New Roman" w:hAnsi="Times New Roman" w:cs="Times New Roman"/>
          <w:sz w:val="24"/>
          <w:szCs w:val="24"/>
        </w:rPr>
        <w:t xml:space="preserve">olve their issues through 311. </w:t>
      </w:r>
      <w:r w:rsidR="00625C3A">
        <w:rPr>
          <w:rFonts w:ascii="Times New Roman" w:eastAsia="Times New Roman" w:hAnsi="Times New Roman" w:cs="Times New Roman"/>
          <w:sz w:val="24"/>
          <w:szCs w:val="24"/>
        </w:rPr>
        <w:t xml:space="preserve">DOF </w:t>
      </w:r>
      <w:r w:rsidR="00CA35FB">
        <w:rPr>
          <w:rFonts w:ascii="Times New Roman" w:eastAsia="Times New Roman" w:hAnsi="Times New Roman" w:cs="Times New Roman"/>
          <w:sz w:val="24"/>
          <w:szCs w:val="24"/>
        </w:rPr>
        <w:t xml:space="preserve">is </w:t>
      </w:r>
      <w:r w:rsidR="00625C3A">
        <w:rPr>
          <w:rFonts w:ascii="Times New Roman" w:eastAsia="Times New Roman" w:hAnsi="Times New Roman" w:cs="Times New Roman"/>
          <w:sz w:val="24"/>
          <w:szCs w:val="24"/>
        </w:rPr>
        <w:t xml:space="preserve">continuously </w:t>
      </w:r>
      <w:r w:rsidR="00CA35FB" w:rsidRPr="005278B3">
        <w:rPr>
          <w:rFonts w:ascii="Times New Roman" w:eastAsia="Times New Roman" w:hAnsi="Times New Roman" w:cs="Times New Roman"/>
          <w:sz w:val="24"/>
          <w:szCs w:val="24"/>
        </w:rPr>
        <w:t xml:space="preserve">exploring </w:t>
      </w:r>
      <w:r w:rsidR="00CA35FB">
        <w:rPr>
          <w:rFonts w:ascii="Times New Roman" w:eastAsia="Times New Roman" w:hAnsi="Times New Roman" w:cs="Times New Roman"/>
          <w:sz w:val="24"/>
          <w:szCs w:val="24"/>
        </w:rPr>
        <w:t xml:space="preserve">effective and efficient ways of serving </w:t>
      </w:r>
      <w:r w:rsidR="00625C3A">
        <w:rPr>
          <w:rFonts w:ascii="Times New Roman" w:eastAsia="Times New Roman" w:hAnsi="Times New Roman" w:cs="Times New Roman"/>
          <w:sz w:val="24"/>
          <w:szCs w:val="24"/>
        </w:rPr>
        <w:t xml:space="preserve">these </w:t>
      </w:r>
      <w:r w:rsidR="00CA35FB">
        <w:rPr>
          <w:rFonts w:ascii="Times New Roman" w:eastAsia="Times New Roman" w:hAnsi="Times New Roman" w:cs="Times New Roman"/>
          <w:sz w:val="24"/>
          <w:szCs w:val="24"/>
        </w:rPr>
        <w:t>customers</w:t>
      </w:r>
      <w:r w:rsidR="00625C3A">
        <w:rPr>
          <w:rFonts w:ascii="Times New Roman" w:eastAsia="Times New Roman" w:hAnsi="Times New Roman" w:cs="Times New Roman"/>
          <w:sz w:val="24"/>
          <w:szCs w:val="24"/>
        </w:rPr>
        <w:t xml:space="preserve">, and currently has two main </w:t>
      </w:r>
      <w:r w:rsidR="00CA35FB">
        <w:rPr>
          <w:rFonts w:ascii="Times New Roman" w:eastAsia="Times New Roman" w:hAnsi="Times New Roman" w:cs="Times New Roman"/>
          <w:sz w:val="24"/>
          <w:szCs w:val="24"/>
        </w:rPr>
        <w:t xml:space="preserve">avenues by which business taxpayers and practitioners can access DOF for substantive tax compliance issues. </w:t>
      </w:r>
    </w:p>
    <w:p w:rsidR="00CA35FB" w:rsidRDefault="00CA35FB" w:rsidP="00CA35FB">
      <w:pPr>
        <w:pStyle w:val="ListParagraph"/>
        <w:shd w:val="clear" w:color="auto" w:fill="FFFFFF"/>
        <w:tabs>
          <w:tab w:val="left" w:pos="810"/>
          <w:tab w:val="left" w:pos="990"/>
        </w:tabs>
        <w:spacing w:before="100" w:beforeAutospacing="1" w:after="100" w:afterAutospacing="1" w:line="300" w:lineRule="atLeast"/>
        <w:ind w:left="0"/>
        <w:rPr>
          <w:rFonts w:ascii="Times New Roman" w:eastAsia="Times New Roman" w:hAnsi="Times New Roman" w:cs="Times New Roman"/>
          <w:sz w:val="24"/>
          <w:szCs w:val="24"/>
        </w:rPr>
      </w:pPr>
    </w:p>
    <w:p w:rsidR="00CA35FB" w:rsidRPr="005278B3" w:rsidRDefault="00CA35FB" w:rsidP="00CA35FB">
      <w:pPr>
        <w:pStyle w:val="ListParagraph"/>
        <w:numPr>
          <w:ilvl w:val="0"/>
          <w:numId w:val="22"/>
        </w:numPr>
        <w:shd w:val="clear" w:color="auto" w:fill="FFFFFF"/>
        <w:tabs>
          <w:tab w:val="left" w:pos="810"/>
          <w:tab w:val="left" w:pos="990"/>
        </w:tabs>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Business Tax E-Services. </w:t>
      </w:r>
      <w:r>
        <w:rPr>
          <w:rFonts w:ascii="Times New Roman" w:eastAsia="Times New Roman" w:hAnsi="Times New Roman" w:cs="Times New Roman"/>
          <w:sz w:val="24"/>
          <w:szCs w:val="24"/>
        </w:rPr>
        <w:t xml:space="preserve">DOF created a </w:t>
      </w:r>
      <w:r w:rsidRPr="005278B3">
        <w:rPr>
          <w:rFonts w:ascii="Times New Roman" w:eastAsia="Times New Roman" w:hAnsi="Times New Roman" w:cs="Times New Roman"/>
          <w:sz w:val="24"/>
          <w:szCs w:val="24"/>
        </w:rPr>
        <w:t>Business Tax E</w:t>
      </w:r>
      <w:r w:rsidRPr="005278B3">
        <w:rPr>
          <w:rFonts w:ascii="Times New Roman" w:eastAsia="Times New Roman" w:hAnsi="Times New Roman" w:cs="Times New Roman"/>
          <w:sz w:val="24"/>
          <w:szCs w:val="24"/>
        </w:rPr>
        <w:noBreakHyphen/>
        <w:t xml:space="preserve">Services portal </w:t>
      </w:r>
      <w:r>
        <w:rPr>
          <w:rFonts w:ascii="Times New Roman" w:eastAsia="Times New Roman" w:hAnsi="Times New Roman" w:cs="Times New Roman"/>
          <w:sz w:val="24"/>
          <w:szCs w:val="24"/>
        </w:rPr>
        <w:t xml:space="preserve">through which </w:t>
      </w:r>
      <w:r w:rsidRPr="005278B3">
        <w:rPr>
          <w:rFonts w:ascii="Times New Roman" w:eastAsia="Times New Roman" w:hAnsi="Times New Roman" w:cs="Times New Roman"/>
          <w:sz w:val="24"/>
          <w:szCs w:val="24"/>
        </w:rPr>
        <w:t>business taxpayers and</w:t>
      </w:r>
      <w:r>
        <w:rPr>
          <w:rFonts w:ascii="Times New Roman" w:eastAsia="Times New Roman" w:hAnsi="Times New Roman" w:cs="Times New Roman"/>
          <w:sz w:val="24"/>
          <w:szCs w:val="24"/>
        </w:rPr>
        <w:t xml:space="preserve"> practitioners can </w:t>
      </w:r>
      <w:r w:rsidR="00887C60" w:rsidRPr="005278B3">
        <w:rPr>
          <w:rFonts w:ascii="Times New Roman" w:eastAsia="Times New Roman" w:hAnsi="Times New Roman" w:cs="Times New Roman"/>
          <w:sz w:val="24"/>
          <w:szCs w:val="24"/>
        </w:rPr>
        <w:t>direc</w:t>
      </w:r>
      <w:r w:rsidR="00887C60">
        <w:rPr>
          <w:rFonts w:ascii="Times New Roman" w:eastAsia="Times New Roman" w:hAnsi="Times New Roman" w:cs="Times New Roman"/>
          <w:sz w:val="24"/>
          <w:szCs w:val="24"/>
        </w:rPr>
        <w:t>tl</w:t>
      </w:r>
      <w:r w:rsidR="00887C60" w:rsidRPr="005278B3">
        <w:rPr>
          <w:rFonts w:ascii="Times New Roman" w:eastAsia="Times New Roman" w:hAnsi="Times New Roman" w:cs="Times New Roman"/>
          <w:sz w:val="24"/>
          <w:szCs w:val="24"/>
        </w:rPr>
        <w:t>y</w:t>
      </w:r>
      <w:r w:rsidRPr="005278B3">
        <w:rPr>
          <w:rFonts w:ascii="Times New Roman" w:eastAsia="Times New Roman" w:hAnsi="Times New Roman" w:cs="Times New Roman"/>
          <w:sz w:val="24"/>
          <w:szCs w:val="24"/>
        </w:rPr>
        <w:t xml:space="preserve"> access important </w:t>
      </w:r>
      <w:r>
        <w:rPr>
          <w:rFonts w:ascii="Times New Roman" w:eastAsia="Times New Roman" w:hAnsi="Times New Roman" w:cs="Times New Roman"/>
          <w:sz w:val="24"/>
          <w:szCs w:val="24"/>
        </w:rPr>
        <w:t xml:space="preserve">taxpayer </w:t>
      </w:r>
      <w:r w:rsidRPr="005278B3">
        <w:rPr>
          <w:rFonts w:ascii="Times New Roman" w:eastAsia="Times New Roman" w:hAnsi="Times New Roman" w:cs="Times New Roman"/>
          <w:sz w:val="24"/>
          <w:szCs w:val="24"/>
        </w:rPr>
        <w:t xml:space="preserve">account information, such as </w:t>
      </w:r>
      <w:r>
        <w:rPr>
          <w:rFonts w:ascii="Times New Roman" w:eastAsia="Times New Roman" w:hAnsi="Times New Roman" w:cs="Times New Roman"/>
          <w:sz w:val="24"/>
          <w:szCs w:val="24"/>
        </w:rPr>
        <w:t xml:space="preserve">filed </w:t>
      </w:r>
      <w:r w:rsidRPr="005278B3">
        <w:rPr>
          <w:rFonts w:ascii="Times New Roman" w:eastAsia="Times New Roman" w:hAnsi="Times New Roman" w:cs="Times New Roman"/>
          <w:sz w:val="24"/>
          <w:szCs w:val="24"/>
        </w:rPr>
        <w:t>returns</w:t>
      </w:r>
      <w:r>
        <w:rPr>
          <w:rFonts w:ascii="Times New Roman" w:eastAsia="Times New Roman" w:hAnsi="Times New Roman" w:cs="Times New Roman"/>
          <w:sz w:val="24"/>
          <w:szCs w:val="24"/>
        </w:rPr>
        <w:t>, written correspondence,</w:t>
      </w:r>
      <w:r w:rsidRPr="005278B3">
        <w:rPr>
          <w:rFonts w:ascii="Times New Roman" w:eastAsia="Times New Roman" w:hAnsi="Times New Roman" w:cs="Times New Roman"/>
          <w:sz w:val="24"/>
          <w:szCs w:val="24"/>
        </w:rPr>
        <w:t xml:space="preserve"> and payment records</w:t>
      </w:r>
      <w:r w:rsidR="008E766F">
        <w:rPr>
          <w:rFonts w:ascii="Times New Roman" w:eastAsia="Times New Roman" w:hAnsi="Times New Roman" w:cs="Times New Roman"/>
          <w:sz w:val="24"/>
          <w:szCs w:val="24"/>
        </w:rPr>
        <w:t xml:space="preserve">. They can also perform </w:t>
      </w:r>
      <w:r>
        <w:rPr>
          <w:rFonts w:ascii="Times New Roman" w:eastAsia="Times New Roman" w:hAnsi="Times New Roman" w:cs="Times New Roman"/>
          <w:sz w:val="24"/>
          <w:szCs w:val="24"/>
        </w:rPr>
        <w:t>transactions</w:t>
      </w:r>
      <w:r w:rsidR="00887C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such as making payments or scheduling </w:t>
      </w:r>
      <w:r w:rsidRPr="005278B3">
        <w:rPr>
          <w:rFonts w:ascii="Times New Roman" w:eastAsia="Times New Roman" w:hAnsi="Times New Roman" w:cs="Times New Roman"/>
          <w:sz w:val="24"/>
          <w:szCs w:val="24"/>
        </w:rPr>
        <w:t xml:space="preserve">future </w:t>
      </w:r>
      <w:r w:rsidRPr="005278B3">
        <w:rPr>
          <w:rFonts w:ascii="Times New Roman" w:hAnsi="Times New Roman" w:cs="Times New Roman"/>
          <w:sz w:val="24"/>
          <w:szCs w:val="24"/>
        </w:rPr>
        <w:t>payments</w:t>
      </w:r>
      <w:r w:rsidR="0026451F">
        <w:rPr>
          <w:rFonts w:ascii="Times New Roman" w:hAnsi="Times New Roman" w:cs="Times New Roman"/>
          <w:sz w:val="24"/>
          <w:szCs w:val="24"/>
        </w:rPr>
        <w:t>,</w:t>
      </w:r>
      <w:r>
        <w:rPr>
          <w:rFonts w:ascii="Times New Roman" w:hAnsi="Times New Roman" w:cs="Times New Roman"/>
          <w:sz w:val="24"/>
          <w:szCs w:val="24"/>
        </w:rPr>
        <w:t xml:space="preserve"> requesting conciliation conferences </w:t>
      </w:r>
      <w:r w:rsidR="00887C60">
        <w:rPr>
          <w:rFonts w:ascii="Times New Roman" w:hAnsi="Times New Roman" w:cs="Times New Roman"/>
          <w:sz w:val="24"/>
          <w:szCs w:val="24"/>
        </w:rPr>
        <w:t>at the DOF Conciliation Bureau</w:t>
      </w:r>
      <w:r w:rsidR="0026451F">
        <w:rPr>
          <w:rFonts w:ascii="Times New Roman" w:hAnsi="Times New Roman" w:cs="Times New Roman"/>
          <w:sz w:val="24"/>
          <w:szCs w:val="24"/>
        </w:rPr>
        <w:t>,</w:t>
      </w:r>
      <w:r w:rsidRPr="005278B3">
        <w:rPr>
          <w:rFonts w:ascii="Times New Roman" w:hAnsi="Times New Roman" w:cs="Times New Roman"/>
          <w:sz w:val="24"/>
          <w:szCs w:val="24"/>
        </w:rPr>
        <w:t xml:space="preserve"> </w:t>
      </w:r>
      <w:r w:rsidRPr="005278B3">
        <w:rPr>
          <w:rFonts w:ascii="Times New Roman" w:eastAsia="Times New Roman" w:hAnsi="Times New Roman" w:cs="Times New Roman"/>
          <w:sz w:val="24"/>
          <w:szCs w:val="24"/>
        </w:rPr>
        <w:t>request</w:t>
      </w:r>
      <w:r>
        <w:rPr>
          <w:rFonts w:ascii="Times New Roman" w:eastAsia="Times New Roman" w:hAnsi="Times New Roman" w:cs="Times New Roman"/>
          <w:sz w:val="24"/>
          <w:szCs w:val="24"/>
        </w:rPr>
        <w:t>ing</w:t>
      </w:r>
      <w:r w:rsidRPr="005278B3">
        <w:rPr>
          <w:rFonts w:ascii="Times New Roman" w:eastAsia="Times New Roman" w:hAnsi="Times New Roman" w:cs="Times New Roman"/>
          <w:sz w:val="24"/>
          <w:szCs w:val="24"/>
        </w:rPr>
        <w:t xml:space="preserve"> tax clearance letters</w:t>
      </w:r>
      <w:r w:rsidR="0026451F">
        <w:rPr>
          <w:rFonts w:ascii="Times New Roman" w:eastAsia="Times New Roman" w:hAnsi="Times New Roman" w:cs="Times New Roman"/>
          <w:sz w:val="24"/>
          <w:szCs w:val="24"/>
        </w:rPr>
        <w:t>,</w:t>
      </w:r>
      <w:r w:rsidRPr="005278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applying for installment </w:t>
      </w:r>
      <w:r w:rsidRPr="005278B3">
        <w:rPr>
          <w:rFonts w:ascii="Times New Roman" w:eastAsia="Times New Roman" w:hAnsi="Times New Roman" w:cs="Times New Roman"/>
          <w:sz w:val="24"/>
          <w:szCs w:val="24"/>
        </w:rPr>
        <w:t xml:space="preserve">payment </w:t>
      </w:r>
      <w:r w:rsidR="00887C60">
        <w:rPr>
          <w:rFonts w:ascii="Times New Roman" w:eastAsia="Times New Roman" w:hAnsi="Times New Roman" w:cs="Times New Roman"/>
          <w:sz w:val="24"/>
          <w:szCs w:val="24"/>
        </w:rPr>
        <w:t>agreements</w:t>
      </w:r>
      <w:r w:rsidR="002645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278B3">
        <w:rPr>
          <w:rFonts w:ascii="Times New Roman" w:eastAsia="Times New Roman" w:hAnsi="Times New Roman" w:cs="Times New Roman"/>
          <w:sz w:val="24"/>
          <w:szCs w:val="24"/>
        </w:rPr>
        <w:t>and apply</w:t>
      </w:r>
      <w:r>
        <w:rPr>
          <w:rFonts w:ascii="Times New Roman" w:eastAsia="Times New Roman" w:hAnsi="Times New Roman" w:cs="Times New Roman"/>
          <w:sz w:val="24"/>
          <w:szCs w:val="24"/>
        </w:rPr>
        <w:t>ing</w:t>
      </w:r>
      <w:r w:rsidRPr="005278B3">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 xml:space="preserve">certain </w:t>
      </w:r>
      <w:r w:rsidRPr="005278B3">
        <w:rPr>
          <w:rFonts w:ascii="Times New Roman" w:eastAsia="Times New Roman" w:hAnsi="Times New Roman" w:cs="Times New Roman"/>
          <w:sz w:val="24"/>
          <w:szCs w:val="24"/>
        </w:rPr>
        <w:t xml:space="preserve">business </w:t>
      </w:r>
      <w:r w:rsidR="0026451F">
        <w:rPr>
          <w:rFonts w:ascii="Times New Roman" w:eastAsia="Times New Roman" w:hAnsi="Times New Roman" w:cs="Times New Roman"/>
          <w:sz w:val="24"/>
          <w:szCs w:val="24"/>
        </w:rPr>
        <w:t xml:space="preserve">tax </w:t>
      </w:r>
      <w:r w:rsidRPr="005278B3">
        <w:rPr>
          <w:rFonts w:ascii="Times New Roman" w:eastAsia="Times New Roman" w:hAnsi="Times New Roman" w:cs="Times New Roman"/>
          <w:sz w:val="24"/>
          <w:szCs w:val="24"/>
        </w:rPr>
        <w:t>credit</w:t>
      </w:r>
      <w:r>
        <w:rPr>
          <w:rFonts w:ascii="Times New Roman" w:eastAsia="Times New Roman" w:hAnsi="Times New Roman" w:cs="Times New Roman"/>
          <w:sz w:val="24"/>
          <w:szCs w:val="24"/>
        </w:rPr>
        <w:t>s.</w:t>
      </w:r>
    </w:p>
    <w:p w:rsidR="00CA35FB" w:rsidRPr="005278B3" w:rsidRDefault="00CA35FB" w:rsidP="00CA35FB">
      <w:pPr>
        <w:pStyle w:val="ListParagraph"/>
        <w:shd w:val="clear" w:color="auto" w:fill="FFFFFF"/>
        <w:tabs>
          <w:tab w:val="left" w:pos="810"/>
          <w:tab w:val="left" w:pos="990"/>
        </w:tabs>
        <w:spacing w:before="100" w:beforeAutospacing="1" w:after="100" w:afterAutospacing="1" w:line="300" w:lineRule="atLeast"/>
        <w:ind w:left="0"/>
        <w:rPr>
          <w:rFonts w:ascii="Times New Roman" w:eastAsia="Times New Roman" w:hAnsi="Times New Roman" w:cs="Times New Roman"/>
          <w:sz w:val="24"/>
          <w:szCs w:val="24"/>
        </w:rPr>
      </w:pPr>
    </w:p>
    <w:p w:rsidR="00D114D3" w:rsidRDefault="00CA35FB" w:rsidP="00CA35FB">
      <w:pPr>
        <w:pStyle w:val="ListParagraph"/>
        <w:numPr>
          <w:ilvl w:val="0"/>
          <w:numId w:val="22"/>
        </w:numPr>
        <w:shd w:val="clear" w:color="auto" w:fill="FFFFFF"/>
        <w:tabs>
          <w:tab w:val="left" w:pos="810"/>
          <w:tab w:val="left" w:pos="990"/>
        </w:tabs>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Office of Business Tax Services. </w:t>
      </w:r>
      <w:r>
        <w:rPr>
          <w:rFonts w:ascii="Times New Roman" w:eastAsia="Times New Roman" w:hAnsi="Times New Roman" w:cs="Times New Roman"/>
          <w:sz w:val="24"/>
          <w:szCs w:val="24"/>
        </w:rPr>
        <w:t>DOF also established its first ever Business Tax Services</w:t>
      </w:r>
      <w:r w:rsidR="00887C60">
        <w:rPr>
          <w:rFonts w:ascii="Times New Roman" w:eastAsia="Times New Roman" w:hAnsi="Times New Roman" w:cs="Times New Roman"/>
          <w:sz w:val="24"/>
          <w:szCs w:val="24"/>
        </w:rPr>
        <w:t xml:space="preserve"> Unit</w:t>
      </w:r>
      <w:r w:rsidR="008E76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Unit’s four basic roles are to explain DOF policies and proc</w:t>
      </w:r>
      <w:r w:rsidR="00887C60">
        <w:rPr>
          <w:rFonts w:ascii="Times New Roman" w:eastAsia="Times New Roman" w:hAnsi="Times New Roman" w:cs="Times New Roman"/>
          <w:sz w:val="24"/>
          <w:szCs w:val="24"/>
        </w:rPr>
        <w:t>edures through written guidance;</w:t>
      </w:r>
      <w:r>
        <w:rPr>
          <w:rFonts w:ascii="Times New Roman" w:eastAsia="Times New Roman" w:hAnsi="Times New Roman" w:cs="Times New Roman"/>
          <w:sz w:val="24"/>
          <w:szCs w:val="24"/>
        </w:rPr>
        <w:t xml:space="preserve"> provide a hotline to answer individual business and excise tax question</w:t>
      </w:r>
      <w:r w:rsidR="008E766F">
        <w:rPr>
          <w:rFonts w:ascii="Times New Roman" w:eastAsia="Times New Roman" w:hAnsi="Times New Roman" w:cs="Times New Roman"/>
          <w:sz w:val="24"/>
          <w:szCs w:val="24"/>
        </w:rPr>
        <w:t xml:space="preserve">s </w:t>
      </w:r>
      <w:r w:rsidR="00887C60">
        <w:rPr>
          <w:rFonts w:ascii="Times New Roman" w:eastAsia="Times New Roman" w:hAnsi="Times New Roman" w:cs="Times New Roman"/>
          <w:sz w:val="24"/>
          <w:szCs w:val="24"/>
        </w:rPr>
        <w:t>which 311 is unable to answer;</w:t>
      </w:r>
      <w:r>
        <w:rPr>
          <w:rFonts w:ascii="Times New Roman" w:eastAsia="Times New Roman" w:hAnsi="Times New Roman" w:cs="Times New Roman"/>
          <w:sz w:val="24"/>
          <w:szCs w:val="24"/>
        </w:rPr>
        <w:t xml:space="preserve"> engage with the professional community through conferences</w:t>
      </w:r>
      <w:r w:rsidR="00D520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supply general in-house counsel work for DOF.</w:t>
      </w:r>
    </w:p>
    <w:p w:rsidR="00F350F6" w:rsidRPr="00F350F6" w:rsidRDefault="00F350F6" w:rsidP="00F350F6">
      <w:pPr>
        <w:shd w:val="clear" w:color="auto" w:fill="FFFFFF"/>
        <w:tabs>
          <w:tab w:val="left" w:pos="810"/>
          <w:tab w:val="left" w:pos="990"/>
        </w:tabs>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DOF has found that participants and applicants in personal exemptions programs, such as SCHE and DHE, have inquiries regarding their applications that 311 cannot answer because representative</w:t>
      </w:r>
      <w:r w:rsidR="008E766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do not have access to DOF’s exemptions processing data. DOF is currently researching what would be required to handle more of these inquiries in-house.</w:t>
      </w:r>
    </w:p>
    <w:p w:rsidR="00487B42" w:rsidRPr="006A42C6" w:rsidRDefault="00487B42" w:rsidP="009862C8">
      <w:pPr>
        <w:keepNext/>
        <w:shd w:val="clear" w:color="auto" w:fill="FFFFFF"/>
        <w:spacing w:before="100" w:beforeAutospacing="1" w:after="100" w:afterAutospacing="1" w:line="300" w:lineRule="atLeast"/>
        <w:rPr>
          <w:rFonts w:ascii="Times New Roman" w:eastAsia="Times New Roman" w:hAnsi="Times New Roman" w:cs="Times New Roman"/>
          <w:sz w:val="24"/>
          <w:szCs w:val="24"/>
          <w:u w:val="single"/>
        </w:rPr>
      </w:pPr>
      <w:r w:rsidRPr="00580C21">
        <w:rPr>
          <w:rFonts w:ascii="Times New Roman" w:hAnsi="Times New Roman" w:cs="Times New Roman"/>
          <w:b/>
          <w:bCs/>
          <w:iCs/>
          <w:sz w:val="24"/>
          <w:szCs w:val="24"/>
          <w:u w:val="single"/>
        </w:rPr>
        <w:lastRenderedPageBreak/>
        <w:t xml:space="preserve">Recommendation </w:t>
      </w:r>
      <w:r w:rsidR="006A42C6" w:rsidRPr="00580C21">
        <w:rPr>
          <w:rFonts w:ascii="Times New Roman" w:hAnsi="Times New Roman" w:cs="Times New Roman"/>
          <w:b/>
          <w:bCs/>
          <w:iCs/>
          <w:sz w:val="24"/>
          <w:szCs w:val="24"/>
          <w:u w:val="single"/>
        </w:rPr>
        <w:t xml:space="preserve">No. </w:t>
      </w:r>
      <w:r w:rsidRPr="00580C21">
        <w:rPr>
          <w:rFonts w:ascii="Times New Roman" w:hAnsi="Times New Roman" w:cs="Times New Roman"/>
          <w:b/>
          <w:bCs/>
          <w:iCs/>
          <w:sz w:val="24"/>
          <w:szCs w:val="24"/>
          <w:u w:val="single"/>
        </w:rPr>
        <w:t>3</w:t>
      </w:r>
    </w:p>
    <w:p w:rsidR="00C60B3B" w:rsidRPr="00C60B3B" w:rsidRDefault="00C60B3B" w:rsidP="00C60B3B">
      <w:pPr>
        <w:keepNext/>
        <w:shd w:val="clear" w:color="auto" w:fill="FFFFFF"/>
        <w:spacing w:before="100" w:beforeAutospacing="1" w:after="100" w:afterAutospacing="1" w:line="300" w:lineRule="atLeast"/>
        <w:rPr>
          <w:rFonts w:ascii="Times New Roman" w:hAnsi="Times New Roman" w:cs="Times New Roman"/>
          <w:b/>
          <w:i/>
          <w:sz w:val="24"/>
          <w:szCs w:val="24"/>
        </w:rPr>
      </w:pPr>
      <w:r w:rsidRPr="00C60B3B">
        <w:rPr>
          <w:rFonts w:ascii="Times New Roman" w:hAnsi="Times New Roman" w:cs="Times New Roman"/>
          <w:b/>
          <w:i/>
          <w:sz w:val="24"/>
          <w:szCs w:val="24"/>
        </w:rPr>
        <w:t>Include information on important forms and notices (such as SCRIE, DRIE and the Senior Homeowner Exemption and Disabled Homeowner Exemption) and on the DOF website informing seniors and persons with disabilities how to request accommodation.</w:t>
      </w:r>
    </w:p>
    <w:p w:rsidR="00D92E56" w:rsidRPr="00D92E56" w:rsidRDefault="00D92E56" w:rsidP="00D92E56">
      <w:pPr>
        <w:keepNext/>
        <w:shd w:val="clear" w:color="auto" w:fill="FFFFFF"/>
        <w:spacing w:before="100" w:beforeAutospacing="1" w:after="100" w:afterAutospacing="1" w:line="300" w:lineRule="atLeast"/>
        <w:rPr>
          <w:rFonts w:ascii="Times New Roman" w:hAnsi="Times New Roman" w:cs="Times New Roman"/>
          <w:b/>
          <w:sz w:val="24"/>
          <w:szCs w:val="24"/>
        </w:rPr>
      </w:pPr>
      <w:r w:rsidRPr="00D92E56">
        <w:rPr>
          <w:rFonts w:ascii="Times New Roman" w:hAnsi="Times New Roman" w:cs="Times New Roman"/>
          <w:b/>
          <w:sz w:val="24"/>
          <w:szCs w:val="24"/>
        </w:rPr>
        <w:t xml:space="preserve">DOF </w:t>
      </w:r>
      <w:r w:rsidR="00D52070">
        <w:rPr>
          <w:rFonts w:ascii="Times New Roman" w:hAnsi="Times New Roman" w:cs="Times New Roman"/>
          <w:b/>
          <w:sz w:val="24"/>
          <w:szCs w:val="24"/>
        </w:rPr>
        <w:t>Action</w:t>
      </w:r>
      <w:r w:rsidRPr="00D92E56">
        <w:rPr>
          <w:rFonts w:ascii="Times New Roman" w:hAnsi="Times New Roman" w:cs="Times New Roman"/>
          <w:b/>
          <w:sz w:val="24"/>
          <w:szCs w:val="24"/>
        </w:rPr>
        <w:t>:</w:t>
      </w:r>
    </w:p>
    <w:p w:rsidR="00CC3A19" w:rsidRDefault="00581F82" w:rsidP="009862C8">
      <w:pPr>
        <w:shd w:val="clear" w:color="auto" w:fill="FFFFFF"/>
        <w:spacing w:before="100" w:beforeAutospacing="1" w:after="100" w:afterAutospacing="1" w:line="300" w:lineRule="atLeast"/>
        <w:rPr>
          <w:rFonts w:ascii="Times New Roman" w:hAnsi="Times New Roman" w:cs="Times New Roman"/>
          <w:sz w:val="24"/>
          <w:szCs w:val="24"/>
        </w:rPr>
      </w:pPr>
      <w:r w:rsidRPr="00FB16A0">
        <w:rPr>
          <w:rFonts w:ascii="Times New Roman" w:hAnsi="Times New Roman" w:cs="Times New Roman"/>
          <w:sz w:val="24"/>
          <w:szCs w:val="24"/>
        </w:rPr>
        <w:t xml:space="preserve">DOF </w:t>
      </w:r>
      <w:r w:rsidR="00625C3A">
        <w:rPr>
          <w:rFonts w:ascii="Times New Roman" w:hAnsi="Times New Roman" w:cs="Times New Roman"/>
          <w:sz w:val="24"/>
          <w:szCs w:val="24"/>
        </w:rPr>
        <w:t xml:space="preserve">agrees with this recommendation and </w:t>
      </w:r>
      <w:r w:rsidRPr="00FB16A0">
        <w:rPr>
          <w:rFonts w:ascii="Times New Roman" w:hAnsi="Times New Roman" w:cs="Times New Roman"/>
          <w:sz w:val="24"/>
          <w:szCs w:val="24"/>
        </w:rPr>
        <w:t xml:space="preserve">has launched an agency-wide </w:t>
      </w:r>
      <w:r w:rsidR="00E0264E">
        <w:rPr>
          <w:rFonts w:ascii="Times New Roman" w:hAnsi="Times New Roman" w:cs="Times New Roman"/>
          <w:sz w:val="24"/>
          <w:szCs w:val="24"/>
        </w:rPr>
        <w:t xml:space="preserve">comprehensive </w:t>
      </w:r>
      <w:r w:rsidRPr="00FB16A0">
        <w:rPr>
          <w:rFonts w:ascii="Times New Roman" w:hAnsi="Times New Roman" w:cs="Times New Roman"/>
          <w:sz w:val="24"/>
          <w:szCs w:val="24"/>
        </w:rPr>
        <w:t>review of compliance with Title II</w:t>
      </w:r>
      <w:r w:rsidR="00D52070">
        <w:rPr>
          <w:rFonts w:ascii="Times New Roman" w:hAnsi="Times New Roman" w:cs="Times New Roman"/>
          <w:sz w:val="24"/>
          <w:szCs w:val="24"/>
        </w:rPr>
        <w:t xml:space="preserve"> </w:t>
      </w:r>
      <w:r w:rsidRPr="00FB16A0">
        <w:rPr>
          <w:rFonts w:ascii="Times New Roman" w:hAnsi="Times New Roman" w:cs="Times New Roman"/>
          <w:sz w:val="24"/>
          <w:szCs w:val="24"/>
        </w:rPr>
        <w:t>of the ADA</w:t>
      </w:r>
      <w:r w:rsidR="00D52070">
        <w:rPr>
          <w:rFonts w:ascii="Times New Roman" w:hAnsi="Times New Roman" w:cs="Times New Roman"/>
          <w:sz w:val="24"/>
          <w:szCs w:val="24"/>
        </w:rPr>
        <w:t>,</w:t>
      </w:r>
      <w:r w:rsidR="00D52070">
        <w:rPr>
          <w:rStyle w:val="FootnoteReference"/>
          <w:rFonts w:ascii="Times New Roman" w:hAnsi="Times New Roman" w:cs="Times New Roman"/>
          <w:sz w:val="24"/>
          <w:szCs w:val="24"/>
        </w:rPr>
        <w:footnoteReference w:id="5"/>
      </w:r>
      <w:r w:rsidR="00D52070">
        <w:rPr>
          <w:rFonts w:ascii="Times New Roman" w:hAnsi="Times New Roman" w:cs="Times New Roman"/>
          <w:sz w:val="24"/>
          <w:szCs w:val="24"/>
        </w:rPr>
        <w:t xml:space="preserve"> </w:t>
      </w:r>
      <w:r w:rsidRPr="00FB16A0">
        <w:rPr>
          <w:rFonts w:ascii="Times New Roman" w:hAnsi="Times New Roman" w:cs="Times New Roman"/>
          <w:sz w:val="24"/>
          <w:szCs w:val="24"/>
        </w:rPr>
        <w:t xml:space="preserve">as well as </w:t>
      </w:r>
      <w:r w:rsidR="00B92031">
        <w:rPr>
          <w:rFonts w:ascii="Times New Roman" w:hAnsi="Times New Roman" w:cs="Times New Roman"/>
          <w:sz w:val="24"/>
          <w:szCs w:val="24"/>
        </w:rPr>
        <w:t xml:space="preserve">New York </w:t>
      </w:r>
      <w:r w:rsidRPr="00FB16A0">
        <w:rPr>
          <w:rFonts w:ascii="Times New Roman" w:hAnsi="Times New Roman" w:cs="Times New Roman"/>
          <w:sz w:val="24"/>
          <w:szCs w:val="24"/>
        </w:rPr>
        <w:t xml:space="preserve">state and local laws </w:t>
      </w:r>
      <w:r w:rsidR="00B92031">
        <w:rPr>
          <w:rFonts w:ascii="Times New Roman" w:hAnsi="Times New Roman" w:cs="Times New Roman"/>
          <w:sz w:val="24"/>
          <w:szCs w:val="24"/>
        </w:rPr>
        <w:t xml:space="preserve">governing </w:t>
      </w:r>
      <w:r w:rsidRPr="00FB16A0">
        <w:rPr>
          <w:rFonts w:ascii="Times New Roman" w:hAnsi="Times New Roman" w:cs="Times New Roman"/>
          <w:sz w:val="24"/>
          <w:szCs w:val="24"/>
        </w:rPr>
        <w:t>the provision of services, benefits</w:t>
      </w:r>
      <w:r w:rsidR="002C79F1" w:rsidRPr="00FB16A0">
        <w:rPr>
          <w:rFonts w:ascii="Times New Roman" w:hAnsi="Times New Roman" w:cs="Times New Roman"/>
          <w:sz w:val="24"/>
          <w:szCs w:val="24"/>
        </w:rPr>
        <w:t>,</w:t>
      </w:r>
      <w:r w:rsidRPr="00FB16A0">
        <w:rPr>
          <w:rFonts w:ascii="Times New Roman" w:hAnsi="Times New Roman" w:cs="Times New Roman"/>
          <w:sz w:val="24"/>
          <w:szCs w:val="24"/>
        </w:rPr>
        <w:t xml:space="preserve"> and programs </w:t>
      </w:r>
      <w:r w:rsidR="00B92031">
        <w:rPr>
          <w:rFonts w:ascii="Times New Roman" w:hAnsi="Times New Roman" w:cs="Times New Roman"/>
          <w:sz w:val="24"/>
          <w:szCs w:val="24"/>
        </w:rPr>
        <w:t>provided</w:t>
      </w:r>
      <w:r w:rsidRPr="00FB16A0">
        <w:rPr>
          <w:rFonts w:ascii="Times New Roman" w:hAnsi="Times New Roman" w:cs="Times New Roman"/>
          <w:sz w:val="24"/>
          <w:szCs w:val="24"/>
        </w:rPr>
        <w:t xml:space="preserve"> to </w:t>
      </w:r>
      <w:r w:rsidR="009862C8" w:rsidRPr="00FB16A0">
        <w:rPr>
          <w:rFonts w:ascii="Times New Roman" w:hAnsi="Times New Roman" w:cs="Times New Roman"/>
          <w:sz w:val="24"/>
          <w:szCs w:val="24"/>
        </w:rPr>
        <w:t xml:space="preserve">the </w:t>
      </w:r>
      <w:r w:rsidR="00B92031">
        <w:rPr>
          <w:rFonts w:ascii="Times New Roman" w:hAnsi="Times New Roman" w:cs="Times New Roman"/>
          <w:sz w:val="24"/>
          <w:szCs w:val="24"/>
        </w:rPr>
        <w:t xml:space="preserve">members of the </w:t>
      </w:r>
      <w:r w:rsidR="009862C8" w:rsidRPr="00FB16A0">
        <w:rPr>
          <w:rFonts w:ascii="Times New Roman" w:hAnsi="Times New Roman" w:cs="Times New Roman"/>
          <w:sz w:val="24"/>
          <w:szCs w:val="24"/>
        </w:rPr>
        <w:t xml:space="preserve">public. </w:t>
      </w:r>
      <w:r w:rsidRPr="00FB16A0">
        <w:rPr>
          <w:rFonts w:ascii="Times New Roman" w:hAnsi="Times New Roman" w:cs="Times New Roman"/>
          <w:sz w:val="24"/>
          <w:szCs w:val="24"/>
        </w:rPr>
        <w:t xml:space="preserve">This </w:t>
      </w:r>
      <w:r w:rsidR="00C60B3B">
        <w:rPr>
          <w:rFonts w:ascii="Times New Roman" w:hAnsi="Times New Roman" w:cs="Times New Roman"/>
          <w:sz w:val="24"/>
          <w:szCs w:val="24"/>
        </w:rPr>
        <w:t xml:space="preserve">multiyear </w:t>
      </w:r>
      <w:r w:rsidRPr="00FB16A0">
        <w:rPr>
          <w:rFonts w:ascii="Times New Roman" w:hAnsi="Times New Roman" w:cs="Times New Roman"/>
          <w:sz w:val="24"/>
          <w:szCs w:val="24"/>
        </w:rPr>
        <w:t xml:space="preserve">initiative includes a review of </w:t>
      </w:r>
      <w:r w:rsidR="00E0264E">
        <w:rPr>
          <w:rFonts w:ascii="Times New Roman" w:hAnsi="Times New Roman" w:cs="Times New Roman"/>
          <w:sz w:val="24"/>
          <w:szCs w:val="24"/>
        </w:rPr>
        <w:t xml:space="preserve">all of </w:t>
      </w:r>
      <w:r w:rsidR="008E5FAF" w:rsidRPr="00FB16A0">
        <w:rPr>
          <w:rFonts w:ascii="Times New Roman" w:hAnsi="Times New Roman" w:cs="Times New Roman"/>
          <w:sz w:val="24"/>
          <w:szCs w:val="24"/>
        </w:rPr>
        <w:t>DOF</w:t>
      </w:r>
      <w:r w:rsidRPr="00FB16A0">
        <w:rPr>
          <w:rFonts w:ascii="Times New Roman" w:hAnsi="Times New Roman" w:cs="Times New Roman"/>
          <w:sz w:val="24"/>
          <w:szCs w:val="24"/>
        </w:rPr>
        <w:t xml:space="preserve">’s physical locations, </w:t>
      </w:r>
      <w:r w:rsidR="00E0264E">
        <w:rPr>
          <w:rFonts w:ascii="Times New Roman" w:hAnsi="Times New Roman" w:cs="Times New Roman"/>
          <w:sz w:val="24"/>
          <w:szCs w:val="24"/>
        </w:rPr>
        <w:t xml:space="preserve">written and electronic communications, and the creation of specialized ADA training to DOF staff that interact with </w:t>
      </w:r>
      <w:r w:rsidR="00CC3A19">
        <w:rPr>
          <w:rFonts w:ascii="Times New Roman" w:hAnsi="Times New Roman" w:cs="Times New Roman"/>
          <w:sz w:val="24"/>
          <w:szCs w:val="24"/>
        </w:rPr>
        <w:t xml:space="preserve">members of </w:t>
      </w:r>
      <w:r w:rsidR="002F411E">
        <w:rPr>
          <w:rFonts w:ascii="Times New Roman" w:hAnsi="Times New Roman" w:cs="Times New Roman"/>
          <w:sz w:val="24"/>
          <w:szCs w:val="24"/>
        </w:rPr>
        <w:t xml:space="preserve">the public. </w:t>
      </w:r>
      <w:r w:rsidR="00E0264E">
        <w:rPr>
          <w:rFonts w:ascii="Times New Roman" w:hAnsi="Times New Roman" w:cs="Times New Roman"/>
          <w:sz w:val="24"/>
          <w:szCs w:val="24"/>
        </w:rPr>
        <w:t xml:space="preserve">The initiative is headed by DOF’s Disability Service Facilitator </w:t>
      </w:r>
      <w:r w:rsidR="00CC3A19">
        <w:rPr>
          <w:rFonts w:ascii="Times New Roman" w:hAnsi="Times New Roman" w:cs="Times New Roman"/>
          <w:sz w:val="24"/>
          <w:szCs w:val="24"/>
        </w:rPr>
        <w:t xml:space="preserve">(“DSF”), under the guidance of DOF’s EEO Officer, </w:t>
      </w:r>
      <w:r w:rsidR="00E0264E">
        <w:rPr>
          <w:rFonts w:ascii="Times New Roman" w:hAnsi="Times New Roman" w:cs="Times New Roman"/>
          <w:sz w:val="24"/>
          <w:szCs w:val="24"/>
        </w:rPr>
        <w:t xml:space="preserve">who ensures that DOF’s forms and notices contain </w:t>
      </w:r>
      <w:r w:rsidR="002C79F1" w:rsidRPr="00FB16A0">
        <w:rPr>
          <w:rFonts w:ascii="Times New Roman" w:hAnsi="Times New Roman" w:cs="Times New Roman"/>
          <w:sz w:val="24"/>
          <w:szCs w:val="24"/>
        </w:rPr>
        <w:t>ADA</w:t>
      </w:r>
      <w:r w:rsidR="002C79F1" w:rsidRPr="00FB16A0">
        <w:rPr>
          <w:rFonts w:ascii="Times New Roman" w:hAnsi="Times New Roman" w:cs="Times New Roman"/>
          <w:sz w:val="24"/>
          <w:szCs w:val="24"/>
        </w:rPr>
        <w:noBreakHyphen/>
      </w:r>
      <w:r w:rsidR="009D522F" w:rsidRPr="00FB16A0">
        <w:rPr>
          <w:rFonts w:ascii="Times New Roman" w:hAnsi="Times New Roman" w:cs="Times New Roman"/>
          <w:sz w:val="24"/>
          <w:szCs w:val="24"/>
        </w:rPr>
        <w:t>responsive lang</w:t>
      </w:r>
      <w:r w:rsidR="00A75269">
        <w:rPr>
          <w:rFonts w:ascii="Times New Roman" w:hAnsi="Times New Roman" w:cs="Times New Roman"/>
          <w:sz w:val="24"/>
          <w:szCs w:val="24"/>
        </w:rPr>
        <w:t>uage</w:t>
      </w:r>
      <w:r w:rsidR="00E0264E">
        <w:rPr>
          <w:rFonts w:ascii="Times New Roman" w:hAnsi="Times New Roman" w:cs="Times New Roman"/>
          <w:sz w:val="24"/>
          <w:szCs w:val="24"/>
        </w:rPr>
        <w:t>, including how to apply for and receive a</w:t>
      </w:r>
      <w:r w:rsidR="00CC3A19">
        <w:rPr>
          <w:rFonts w:ascii="Times New Roman" w:hAnsi="Times New Roman" w:cs="Times New Roman"/>
          <w:sz w:val="24"/>
          <w:szCs w:val="24"/>
        </w:rPr>
        <w:t xml:space="preserve"> reasonable </w:t>
      </w:r>
      <w:r w:rsidR="00E0264E">
        <w:rPr>
          <w:rFonts w:ascii="Times New Roman" w:hAnsi="Times New Roman" w:cs="Times New Roman"/>
          <w:sz w:val="24"/>
          <w:szCs w:val="24"/>
        </w:rPr>
        <w:t>accommodation</w:t>
      </w:r>
      <w:r w:rsidR="002F411E">
        <w:rPr>
          <w:rFonts w:ascii="Times New Roman" w:hAnsi="Times New Roman" w:cs="Times New Roman"/>
          <w:sz w:val="24"/>
          <w:szCs w:val="24"/>
        </w:rPr>
        <w:t xml:space="preserve"> through her office.</w:t>
      </w:r>
      <w:r w:rsidR="00C60B3B">
        <w:rPr>
          <w:rFonts w:ascii="Times New Roman" w:hAnsi="Times New Roman" w:cs="Times New Roman"/>
          <w:sz w:val="24"/>
          <w:szCs w:val="24"/>
        </w:rPr>
        <w:t xml:space="preserve"> </w:t>
      </w:r>
      <w:r w:rsidR="00CC3A19">
        <w:rPr>
          <w:rFonts w:ascii="Times New Roman" w:hAnsi="Times New Roman" w:cs="Times New Roman"/>
          <w:sz w:val="24"/>
          <w:szCs w:val="24"/>
        </w:rPr>
        <w:t>Inclusion of such language on forms associated with SCRIE, DRIE, SCHE and DHE have resulted in hundreds of requests for assistance to the DSF</w:t>
      </w:r>
      <w:r w:rsidR="002F411E">
        <w:rPr>
          <w:rFonts w:ascii="Times New Roman" w:hAnsi="Times New Roman" w:cs="Times New Roman"/>
          <w:sz w:val="24"/>
          <w:szCs w:val="24"/>
        </w:rPr>
        <w:t>.</w:t>
      </w:r>
    </w:p>
    <w:p w:rsidR="001848EE" w:rsidRPr="00FB16A0" w:rsidRDefault="00C60B3B" w:rsidP="009862C8">
      <w:pPr>
        <w:shd w:val="clear" w:color="auto" w:fill="FFFFFF"/>
        <w:spacing w:before="100" w:beforeAutospacing="1" w:after="100" w:afterAutospacing="1" w:line="300" w:lineRule="atLeast"/>
        <w:rPr>
          <w:rFonts w:ascii="Times New Roman" w:hAnsi="Times New Roman" w:cs="Times New Roman"/>
          <w:sz w:val="24"/>
          <w:szCs w:val="24"/>
        </w:rPr>
      </w:pPr>
      <w:r>
        <w:rPr>
          <w:rFonts w:ascii="Times New Roman" w:hAnsi="Times New Roman" w:cs="Times New Roman"/>
          <w:sz w:val="24"/>
          <w:szCs w:val="24"/>
        </w:rPr>
        <w:t>DOF has also redesigned its Manhattan business center’s SCRIE and DRIE walk-in center to allow easy access for taxpayers with disabilities, and plans to follow suit in other boroughs soon.</w:t>
      </w:r>
      <w:r w:rsidR="00D114D3">
        <w:rPr>
          <w:rFonts w:ascii="Times New Roman" w:hAnsi="Times New Roman" w:cs="Times New Roman"/>
          <w:sz w:val="24"/>
          <w:szCs w:val="24"/>
        </w:rPr>
        <w:t xml:space="preserve"> DOF plans to have SCRIE and DRIE operations in the Bronx and Brooklyn one day a week during the first quarter of tax year 2017/18, as well as services for sen</w:t>
      </w:r>
      <w:r w:rsidR="00D52070">
        <w:rPr>
          <w:rFonts w:ascii="Times New Roman" w:hAnsi="Times New Roman" w:cs="Times New Roman"/>
          <w:sz w:val="24"/>
          <w:szCs w:val="24"/>
        </w:rPr>
        <w:t>ior and disabled homeowners, with the goal of full</w:t>
      </w:r>
      <w:r w:rsidR="00123A67">
        <w:rPr>
          <w:rFonts w:ascii="Times New Roman" w:hAnsi="Times New Roman" w:cs="Times New Roman"/>
          <w:sz w:val="24"/>
          <w:szCs w:val="24"/>
        </w:rPr>
        <w:t xml:space="preserve"> </w:t>
      </w:r>
      <w:r w:rsidR="00D52070">
        <w:rPr>
          <w:rFonts w:ascii="Times New Roman" w:hAnsi="Times New Roman" w:cs="Times New Roman"/>
          <w:sz w:val="24"/>
          <w:szCs w:val="24"/>
        </w:rPr>
        <w:t>service centers in those boroughs later in the year.</w:t>
      </w:r>
    </w:p>
    <w:p w:rsidR="00487B42" w:rsidRPr="002F411E" w:rsidRDefault="002F411E" w:rsidP="009862C8">
      <w:pPr>
        <w:keepNext/>
        <w:shd w:val="clear" w:color="auto" w:fill="FFFFFF"/>
        <w:spacing w:before="100" w:beforeAutospacing="1" w:after="100" w:afterAutospacing="1" w:line="300" w:lineRule="atLeast"/>
        <w:rPr>
          <w:rFonts w:ascii="Times New Roman" w:eastAsia="Times New Roman" w:hAnsi="Times New Roman" w:cs="Times New Roman"/>
          <w:sz w:val="24"/>
          <w:szCs w:val="24"/>
          <w:u w:val="single"/>
        </w:rPr>
      </w:pPr>
      <w:r w:rsidRPr="002F411E">
        <w:rPr>
          <w:rFonts w:ascii="Times New Roman" w:hAnsi="Times New Roman" w:cs="Times New Roman"/>
          <w:b/>
          <w:bCs/>
          <w:iCs/>
          <w:sz w:val="24"/>
          <w:szCs w:val="24"/>
          <w:u w:val="single"/>
        </w:rPr>
        <w:t xml:space="preserve">Recommendation No. </w:t>
      </w:r>
      <w:r w:rsidR="00487B42" w:rsidRPr="002F411E">
        <w:rPr>
          <w:rFonts w:ascii="Times New Roman" w:hAnsi="Times New Roman" w:cs="Times New Roman"/>
          <w:b/>
          <w:bCs/>
          <w:iCs/>
          <w:sz w:val="24"/>
          <w:szCs w:val="24"/>
          <w:u w:val="single"/>
        </w:rPr>
        <w:t>4</w:t>
      </w:r>
    </w:p>
    <w:p w:rsidR="001C3FDE" w:rsidRPr="001C3FDE" w:rsidRDefault="001C3FDE" w:rsidP="002A6A91">
      <w:pPr>
        <w:shd w:val="clear" w:color="auto" w:fill="FFFFFF"/>
        <w:tabs>
          <w:tab w:val="left" w:pos="810"/>
          <w:tab w:val="left" w:pos="990"/>
        </w:tabs>
        <w:spacing w:before="100" w:beforeAutospacing="1" w:after="100" w:afterAutospacing="1" w:line="300" w:lineRule="atLeast"/>
        <w:rPr>
          <w:rFonts w:ascii="Times New Roman" w:eastAsia="Times New Roman" w:hAnsi="Times New Roman" w:cs="Times New Roman"/>
          <w:b/>
          <w:i/>
          <w:sz w:val="24"/>
          <w:szCs w:val="24"/>
        </w:rPr>
      </w:pPr>
      <w:r w:rsidRPr="001C3FDE">
        <w:rPr>
          <w:rFonts w:ascii="Times New Roman" w:hAnsi="Times New Roman" w:cs="Times New Roman"/>
          <w:b/>
          <w:i/>
          <w:sz w:val="24"/>
          <w:szCs w:val="24"/>
        </w:rPr>
        <w:t>Establish a working group to correct bad addresses within DOF databases and securely allow taxpayers and property owners to change their mailing addresses, as well as research what other databases can be checked for updated addresses when mail is returned undeliverable.</w:t>
      </w:r>
    </w:p>
    <w:p w:rsidR="00D92E56" w:rsidRPr="00D92E56" w:rsidRDefault="00D92E56" w:rsidP="00D92E56">
      <w:pPr>
        <w:keepNext/>
        <w:shd w:val="clear" w:color="auto" w:fill="FFFFFF"/>
        <w:spacing w:before="100" w:beforeAutospacing="1" w:after="100" w:afterAutospacing="1" w:line="300" w:lineRule="atLeast"/>
        <w:rPr>
          <w:rFonts w:ascii="Times New Roman" w:hAnsi="Times New Roman" w:cs="Times New Roman"/>
          <w:b/>
          <w:sz w:val="24"/>
          <w:szCs w:val="24"/>
        </w:rPr>
      </w:pPr>
      <w:r w:rsidRPr="00D92E56">
        <w:rPr>
          <w:rFonts w:ascii="Times New Roman" w:hAnsi="Times New Roman" w:cs="Times New Roman"/>
          <w:b/>
          <w:sz w:val="24"/>
          <w:szCs w:val="24"/>
        </w:rPr>
        <w:t xml:space="preserve">DOF </w:t>
      </w:r>
      <w:r w:rsidR="00D52070">
        <w:rPr>
          <w:rFonts w:ascii="Times New Roman" w:hAnsi="Times New Roman" w:cs="Times New Roman"/>
          <w:b/>
          <w:sz w:val="24"/>
          <w:szCs w:val="24"/>
        </w:rPr>
        <w:t>Action</w:t>
      </w:r>
      <w:r w:rsidRPr="00D92E56">
        <w:rPr>
          <w:rFonts w:ascii="Times New Roman" w:hAnsi="Times New Roman" w:cs="Times New Roman"/>
          <w:b/>
          <w:sz w:val="24"/>
          <w:szCs w:val="24"/>
        </w:rPr>
        <w:t>:</w:t>
      </w:r>
    </w:p>
    <w:p w:rsidR="00F64795" w:rsidRDefault="00487B42" w:rsidP="002A6A91">
      <w:pPr>
        <w:shd w:val="clear" w:color="auto" w:fill="FFFFFF"/>
        <w:tabs>
          <w:tab w:val="left" w:pos="810"/>
          <w:tab w:val="left" w:pos="990"/>
        </w:tabs>
        <w:spacing w:before="100" w:beforeAutospacing="1" w:after="100" w:afterAutospacing="1" w:line="300" w:lineRule="atLeast"/>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DOF</w:t>
      </w:r>
      <w:r w:rsidR="00625C3A">
        <w:rPr>
          <w:rFonts w:ascii="Times New Roman" w:eastAsia="Times New Roman" w:hAnsi="Times New Roman" w:cs="Times New Roman"/>
          <w:sz w:val="24"/>
          <w:szCs w:val="24"/>
        </w:rPr>
        <w:t xml:space="preserve"> agrees with this recommendation and </w:t>
      </w:r>
      <w:r w:rsidRPr="00FB16A0">
        <w:rPr>
          <w:rFonts w:ascii="Times New Roman" w:eastAsia="Times New Roman" w:hAnsi="Times New Roman" w:cs="Times New Roman"/>
          <w:sz w:val="24"/>
          <w:szCs w:val="24"/>
        </w:rPr>
        <w:t>has convened a working group</w:t>
      </w:r>
      <w:r w:rsidR="005B54F7">
        <w:rPr>
          <w:rFonts w:ascii="Times New Roman" w:eastAsia="Times New Roman" w:hAnsi="Times New Roman" w:cs="Times New Roman"/>
          <w:sz w:val="24"/>
          <w:szCs w:val="24"/>
        </w:rPr>
        <w:t xml:space="preserve"> </w:t>
      </w:r>
      <w:r w:rsidR="00625C3A">
        <w:rPr>
          <w:rFonts w:ascii="Times New Roman" w:eastAsia="Times New Roman" w:hAnsi="Times New Roman" w:cs="Times New Roman"/>
          <w:sz w:val="24"/>
          <w:szCs w:val="24"/>
        </w:rPr>
        <w:t xml:space="preserve">consisting of </w:t>
      </w:r>
      <w:r w:rsidR="005B54F7">
        <w:rPr>
          <w:rFonts w:ascii="Times New Roman" w:eastAsia="Times New Roman" w:hAnsi="Times New Roman" w:cs="Times New Roman"/>
          <w:sz w:val="24"/>
          <w:szCs w:val="24"/>
        </w:rPr>
        <w:t xml:space="preserve">representatives from </w:t>
      </w:r>
      <w:r w:rsidR="00625C3A">
        <w:rPr>
          <w:rFonts w:ascii="Times New Roman" w:eastAsia="Times New Roman" w:hAnsi="Times New Roman" w:cs="Times New Roman"/>
          <w:sz w:val="24"/>
          <w:szCs w:val="24"/>
        </w:rPr>
        <w:t>multiple</w:t>
      </w:r>
      <w:r w:rsidR="005B54F7">
        <w:rPr>
          <w:rFonts w:ascii="Times New Roman" w:eastAsia="Times New Roman" w:hAnsi="Times New Roman" w:cs="Times New Roman"/>
          <w:sz w:val="24"/>
          <w:szCs w:val="24"/>
        </w:rPr>
        <w:t xml:space="preserve"> internal</w:t>
      </w:r>
      <w:r w:rsidR="00AE2FF4">
        <w:rPr>
          <w:rFonts w:ascii="Times New Roman" w:eastAsia="Times New Roman" w:hAnsi="Times New Roman" w:cs="Times New Roman"/>
          <w:sz w:val="24"/>
          <w:szCs w:val="24"/>
        </w:rPr>
        <w:t xml:space="preserve"> </w:t>
      </w:r>
      <w:r w:rsidR="005B54F7">
        <w:rPr>
          <w:rFonts w:ascii="Times New Roman" w:eastAsia="Times New Roman" w:hAnsi="Times New Roman" w:cs="Times New Roman"/>
          <w:sz w:val="24"/>
          <w:szCs w:val="24"/>
        </w:rPr>
        <w:t xml:space="preserve">divisions and units </w:t>
      </w:r>
      <w:r w:rsidR="00581F82" w:rsidRPr="00FB16A0">
        <w:rPr>
          <w:rFonts w:ascii="Times New Roman" w:eastAsia="Times New Roman" w:hAnsi="Times New Roman" w:cs="Times New Roman"/>
          <w:sz w:val="24"/>
          <w:szCs w:val="24"/>
        </w:rPr>
        <w:t>to</w:t>
      </w:r>
      <w:r w:rsidR="001C3FDE">
        <w:rPr>
          <w:rFonts w:ascii="Times New Roman" w:eastAsia="Times New Roman" w:hAnsi="Times New Roman" w:cs="Times New Roman"/>
          <w:sz w:val="24"/>
          <w:szCs w:val="24"/>
        </w:rPr>
        <w:t xml:space="preserve"> improve the accuracy of DOF’s address database</w:t>
      </w:r>
      <w:r w:rsidR="00245182">
        <w:rPr>
          <w:rFonts w:ascii="Times New Roman" w:eastAsia="Times New Roman" w:hAnsi="Times New Roman" w:cs="Times New Roman"/>
          <w:sz w:val="24"/>
          <w:szCs w:val="24"/>
        </w:rPr>
        <w:t xml:space="preserve">. </w:t>
      </w:r>
      <w:r w:rsidR="00CC3A19">
        <w:rPr>
          <w:rFonts w:ascii="Times New Roman" w:eastAsia="Times New Roman" w:hAnsi="Times New Roman" w:cs="Times New Roman"/>
          <w:sz w:val="24"/>
          <w:szCs w:val="24"/>
        </w:rPr>
        <w:t xml:space="preserve">Thus far, the working group has utilized a number of tools such as email capture, internal database cross matching, and </w:t>
      </w:r>
      <w:r w:rsidR="001C3FDE">
        <w:rPr>
          <w:rFonts w:ascii="Times New Roman" w:eastAsia="Times New Roman" w:hAnsi="Times New Roman" w:cs="Times New Roman"/>
          <w:sz w:val="24"/>
          <w:szCs w:val="24"/>
        </w:rPr>
        <w:t>leveraging external databases to update customer contact information.</w:t>
      </w:r>
    </w:p>
    <w:p w:rsidR="00F64795" w:rsidRPr="00FB16A0" w:rsidRDefault="00F64795" w:rsidP="002A6A91">
      <w:pPr>
        <w:shd w:val="clear" w:color="auto" w:fill="FFFFFF"/>
        <w:tabs>
          <w:tab w:val="left" w:pos="810"/>
          <w:tab w:val="left" w:pos="990"/>
        </w:tabs>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sidR="00155B70">
        <w:rPr>
          <w:rFonts w:ascii="Times New Roman" w:eastAsia="Times New Roman" w:hAnsi="Times New Roman" w:cs="Times New Roman"/>
          <w:sz w:val="24"/>
          <w:szCs w:val="24"/>
        </w:rPr>
        <w:t xml:space="preserve">next phase of the </w:t>
      </w:r>
      <w:r>
        <w:rPr>
          <w:rFonts w:ascii="Times New Roman" w:eastAsia="Times New Roman" w:hAnsi="Times New Roman" w:cs="Times New Roman"/>
          <w:sz w:val="24"/>
          <w:szCs w:val="24"/>
        </w:rPr>
        <w:t>address improvement initiative will be launched within the next month. Its main objectives are to establish improved steps upfront at the point of property transfer to capture improved contact information for property purchasers and to standardize addresses; to standardize agency protocols to improve agency address updates, maintenance, and e-mail contact information; to establish improved quality control steps for current ag</w:t>
      </w:r>
      <w:r w:rsidR="00155B70">
        <w:rPr>
          <w:rFonts w:ascii="Times New Roman" w:eastAsia="Times New Roman" w:hAnsi="Times New Roman" w:cs="Times New Roman"/>
          <w:sz w:val="24"/>
          <w:szCs w:val="24"/>
        </w:rPr>
        <w:t>ency address correction efforts,</w:t>
      </w:r>
      <w:r>
        <w:rPr>
          <w:rFonts w:ascii="Times New Roman" w:eastAsia="Times New Roman" w:hAnsi="Times New Roman" w:cs="Times New Roman"/>
          <w:sz w:val="24"/>
          <w:szCs w:val="24"/>
        </w:rPr>
        <w:t xml:space="preserve"> and to implement various techniques to clean up current problem addresses in DOF databases.</w:t>
      </w:r>
    </w:p>
    <w:p w:rsidR="00487B42" w:rsidRPr="002F411E" w:rsidRDefault="00487B42" w:rsidP="009862C8">
      <w:pPr>
        <w:keepNext/>
        <w:shd w:val="clear" w:color="auto" w:fill="FFFFFF"/>
        <w:spacing w:before="100" w:beforeAutospacing="1" w:after="100" w:afterAutospacing="1" w:line="300" w:lineRule="atLeast"/>
        <w:rPr>
          <w:rFonts w:ascii="Times New Roman" w:eastAsia="Times New Roman" w:hAnsi="Times New Roman" w:cs="Times New Roman"/>
          <w:sz w:val="24"/>
          <w:szCs w:val="24"/>
          <w:u w:val="single"/>
        </w:rPr>
      </w:pPr>
      <w:r w:rsidRPr="002F411E">
        <w:rPr>
          <w:rFonts w:ascii="Times New Roman" w:hAnsi="Times New Roman" w:cs="Times New Roman"/>
          <w:b/>
          <w:bCs/>
          <w:iCs/>
          <w:sz w:val="24"/>
          <w:szCs w:val="24"/>
          <w:u w:val="single"/>
        </w:rPr>
        <w:t xml:space="preserve">Recommendation </w:t>
      </w:r>
      <w:r w:rsidR="002F411E" w:rsidRPr="002F411E">
        <w:rPr>
          <w:rFonts w:ascii="Times New Roman" w:hAnsi="Times New Roman" w:cs="Times New Roman"/>
          <w:b/>
          <w:bCs/>
          <w:iCs/>
          <w:sz w:val="24"/>
          <w:szCs w:val="24"/>
          <w:u w:val="single"/>
        </w:rPr>
        <w:t xml:space="preserve">No. </w:t>
      </w:r>
      <w:r w:rsidRPr="002F411E">
        <w:rPr>
          <w:rFonts w:ascii="Times New Roman" w:hAnsi="Times New Roman" w:cs="Times New Roman"/>
          <w:b/>
          <w:bCs/>
          <w:iCs/>
          <w:sz w:val="24"/>
          <w:szCs w:val="24"/>
          <w:u w:val="single"/>
        </w:rPr>
        <w:t>5</w:t>
      </w:r>
    </w:p>
    <w:p w:rsidR="001C3FDE" w:rsidRPr="001C3FDE" w:rsidRDefault="001C3FDE" w:rsidP="00D114D3">
      <w:pPr>
        <w:pStyle w:val="ListParagraph"/>
        <w:keepNext/>
        <w:shd w:val="clear" w:color="auto" w:fill="FFFFFF"/>
        <w:spacing w:before="100" w:beforeAutospacing="1" w:after="100" w:afterAutospacing="1" w:line="300" w:lineRule="atLeast"/>
        <w:ind w:left="0"/>
        <w:rPr>
          <w:rFonts w:ascii="Times New Roman" w:hAnsi="Times New Roman" w:cs="Times New Roman"/>
          <w:b/>
          <w:i/>
          <w:sz w:val="24"/>
          <w:szCs w:val="24"/>
        </w:rPr>
      </w:pPr>
      <w:r w:rsidRPr="001C3FDE">
        <w:rPr>
          <w:rFonts w:ascii="Times New Roman" w:hAnsi="Times New Roman" w:cs="Times New Roman"/>
          <w:b/>
          <w:i/>
          <w:sz w:val="24"/>
          <w:szCs w:val="24"/>
        </w:rPr>
        <w:t>Investigate the main reasons for DOF employees misapplying payments, as well as the major reasons taxpayers or third parties provide the wrong information as to how payments should be applied. Propose a corrective plan.</w:t>
      </w:r>
    </w:p>
    <w:p w:rsidR="001C3FDE" w:rsidRPr="00D92E56" w:rsidRDefault="00D92E56" w:rsidP="00D92E56">
      <w:pPr>
        <w:keepNext/>
        <w:shd w:val="clear" w:color="auto" w:fill="FFFFFF"/>
        <w:spacing w:before="100" w:beforeAutospacing="1" w:after="100" w:afterAutospacing="1" w:line="300" w:lineRule="atLeast"/>
        <w:rPr>
          <w:rFonts w:ascii="Times New Roman" w:hAnsi="Times New Roman" w:cs="Times New Roman"/>
          <w:b/>
          <w:sz w:val="24"/>
          <w:szCs w:val="24"/>
        </w:rPr>
      </w:pPr>
      <w:r w:rsidRPr="00D92E56">
        <w:rPr>
          <w:rFonts w:ascii="Times New Roman" w:hAnsi="Times New Roman" w:cs="Times New Roman"/>
          <w:b/>
          <w:sz w:val="24"/>
          <w:szCs w:val="24"/>
        </w:rPr>
        <w:t xml:space="preserve">DOF </w:t>
      </w:r>
      <w:r w:rsidR="00D52070">
        <w:rPr>
          <w:rFonts w:ascii="Times New Roman" w:hAnsi="Times New Roman" w:cs="Times New Roman"/>
          <w:b/>
          <w:sz w:val="24"/>
          <w:szCs w:val="24"/>
        </w:rPr>
        <w:t>Action</w:t>
      </w:r>
      <w:r w:rsidRPr="00D92E56">
        <w:rPr>
          <w:rFonts w:ascii="Times New Roman" w:hAnsi="Times New Roman" w:cs="Times New Roman"/>
          <w:b/>
          <w:sz w:val="24"/>
          <w:szCs w:val="24"/>
        </w:rPr>
        <w:t>:</w:t>
      </w:r>
    </w:p>
    <w:p w:rsidR="009F7F48" w:rsidRPr="00FB16A0" w:rsidRDefault="008657DC" w:rsidP="009862C8">
      <w:pPr>
        <w:pStyle w:val="ListParagraph"/>
        <w:shd w:val="clear" w:color="auto" w:fill="FFFFFF"/>
        <w:spacing w:before="100" w:beforeAutospacing="1" w:after="100" w:afterAutospacing="1" w:line="300" w:lineRule="atLeast"/>
        <w:ind w:left="0"/>
      </w:pPr>
      <w:r>
        <w:rPr>
          <w:rFonts w:ascii="Times New Roman" w:eastAsia="Times New Roman" w:hAnsi="Times New Roman" w:cs="Times New Roman"/>
          <w:sz w:val="24"/>
          <w:szCs w:val="24"/>
        </w:rPr>
        <w:t xml:space="preserve">DOF agrees that it should investigate </w:t>
      </w:r>
      <w:r w:rsidR="008E766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reasons that payments can be misapplied. </w:t>
      </w:r>
      <w:r w:rsidR="00581F82" w:rsidRPr="00FB16A0">
        <w:rPr>
          <w:rFonts w:ascii="Times New Roman" w:eastAsia="Times New Roman" w:hAnsi="Times New Roman" w:cs="Times New Roman"/>
          <w:sz w:val="24"/>
          <w:szCs w:val="24"/>
        </w:rPr>
        <w:t xml:space="preserve">OTA </w:t>
      </w:r>
      <w:r w:rsidR="008E766F">
        <w:rPr>
          <w:rFonts w:ascii="Times New Roman" w:eastAsia="Times New Roman" w:hAnsi="Times New Roman" w:cs="Times New Roman"/>
          <w:sz w:val="24"/>
          <w:szCs w:val="24"/>
        </w:rPr>
        <w:t xml:space="preserve">and </w:t>
      </w:r>
      <w:r w:rsidR="001C3FDE">
        <w:rPr>
          <w:rFonts w:ascii="Times New Roman" w:eastAsia="Times New Roman" w:hAnsi="Times New Roman" w:cs="Times New Roman"/>
          <w:sz w:val="24"/>
          <w:szCs w:val="24"/>
        </w:rPr>
        <w:t>DOF’s Payment</w:t>
      </w:r>
      <w:r w:rsidR="00581F82" w:rsidRPr="00FB16A0">
        <w:rPr>
          <w:rFonts w:ascii="Times New Roman" w:eastAsia="Times New Roman" w:hAnsi="Times New Roman" w:cs="Times New Roman"/>
          <w:sz w:val="24"/>
          <w:szCs w:val="24"/>
        </w:rPr>
        <w:t xml:space="preserve"> Operations</w:t>
      </w:r>
      <w:r w:rsidR="001C3FDE">
        <w:rPr>
          <w:rFonts w:ascii="Times New Roman" w:eastAsia="Times New Roman" w:hAnsi="Times New Roman" w:cs="Times New Roman"/>
          <w:sz w:val="24"/>
          <w:szCs w:val="24"/>
        </w:rPr>
        <w:t xml:space="preserve"> Division</w:t>
      </w:r>
      <w:r w:rsidR="00581F82" w:rsidRPr="00FB16A0">
        <w:rPr>
          <w:rFonts w:ascii="Times New Roman" w:eastAsia="Times New Roman" w:hAnsi="Times New Roman" w:cs="Times New Roman"/>
          <w:sz w:val="24"/>
          <w:szCs w:val="24"/>
        </w:rPr>
        <w:t xml:space="preserve"> </w:t>
      </w:r>
      <w:r w:rsidR="008E766F">
        <w:rPr>
          <w:rFonts w:ascii="Times New Roman" w:eastAsia="Times New Roman" w:hAnsi="Times New Roman" w:cs="Times New Roman"/>
          <w:sz w:val="24"/>
          <w:szCs w:val="24"/>
        </w:rPr>
        <w:t xml:space="preserve">have established quarterly meetings </w:t>
      </w:r>
      <w:r w:rsidR="00581F82" w:rsidRPr="00FB16A0">
        <w:rPr>
          <w:rFonts w:ascii="Times New Roman" w:eastAsia="Times New Roman" w:hAnsi="Times New Roman" w:cs="Times New Roman"/>
          <w:sz w:val="24"/>
          <w:szCs w:val="24"/>
        </w:rPr>
        <w:t xml:space="preserve">to </w:t>
      </w:r>
      <w:r w:rsidR="00DA09EF">
        <w:rPr>
          <w:rFonts w:ascii="Times New Roman" w:eastAsia="Times New Roman" w:hAnsi="Times New Roman" w:cs="Times New Roman"/>
          <w:sz w:val="24"/>
          <w:szCs w:val="24"/>
        </w:rPr>
        <w:t xml:space="preserve">identify and </w:t>
      </w:r>
      <w:r w:rsidR="00581F82" w:rsidRPr="00FB16A0">
        <w:rPr>
          <w:rFonts w:ascii="Times New Roman" w:eastAsia="Times New Roman" w:hAnsi="Times New Roman" w:cs="Times New Roman"/>
          <w:sz w:val="24"/>
          <w:szCs w:val="24"/>
        </w:rPr>
        <w:t>address</w:t>
      </w:r>
      <w:r w:rsidR="00DA09EF">
        <w:rPr>
          <w:rFonts w:ascii="Times New Roman" w:eastAsia="Times New Roman" w:hAnsi="Times New Roman" w:cs="Times New Roman"/>
          <w:sz w:val="24"/>
          <w:szCs w:val="24"/>
        </w:rPr>
        <w:t xml:space="preserve"> issues related to </w:t>
      </w:r>
      <w:r w:rsidR="00581F82" w:rsidRPr="00FB16A0">
        <w:rPr>
          <w:rFonts w:ascii="Times New Roman" w:eastAsia="Times New Roman" w:hAnsi="Times New Roman" w:cs="Times New Roman"/>
          <w:sz w:val="24"/>
          <w:szCs w:val="24"/>
        </w:rPr>
        <w:t>misapplied payments</w:t>
      </w:r>
      <w:r w:rsidR="008E766F">
        <w:rPr>
          <w:rFonts w:ascii="Times New Roman" w:eastAsia="Times New Roman" w:hAnsi="Times New Roman" w:cs="Times New Roman"/>
          <w:sz w:val="24"/>
          <w:szCs w:val="24"/>
        </w:rPr>
        <w:t xml:space="preserve"> and </w:t>
      </w:r>
      <w:r w:rsidR="00581F82" w:rsidRPr="00FB16A0">
        <w:rPr>
          <w:rFonts w:ascii="Times New Roman" w:eastAsia="Times New Roman" w:hAnsi="Times New Roman" w:cs="Times New Roman"/>
          <w:sz w:val="24"/>
          <w:szCs w:val="24"/>
        </w:rPr>
        <w:t xml:space="preserve">determine whether new processes are needed. </w:t>
      </w:r>
    </w:p>
    <w:p w:rsidR="002F411E" w:rsidRPr="002F411E" w:rsidRDefault="002F411E" w:rsidP="002F411E">
      <w:pPr>
        <w:keepNext/>
        <w:shd w:val="clear" w:color="auto" w:fill="FFFFFF"/>
        <w:spacing w:before="100" w:beforeAutospacing="1" w:after="100" w:afterAutospacing="1" w:line="300" w:lineRule="atLeast"/>
        <w:rPr>
          <w:rFonts w:ascii="Times New Roman" w:eastAsia="Times New Roman" w:hAnsi="Times New Roman" w:cs="Times New Roman"/>
          <w:sz w:val="24"/>
          <w:szCs w:val="24"/>
          <w:u w:val="single"/>
        </w:rPr>
      </w:pPr>
      <w:r w:rsidRPr="002F411E">
        <w:rPr>
          <w:rFonts w:ascii="Times New Roman" w:hAnsi="Times New Roman" w:cs="Times New Roman"/>
          <w:b/>
          <w:bCs/>
          <w:iCs/>
          <w:sz w:val="24"/>
          <w:szCs w:val="24"/>
          <w:u w:val="single"/>
        </w:rPr>
        <w:t xml:space="preserve">Recommendation No. </w:t>
      </w:r>
      <w:r w:rsidR="00971EAC">
        <w:rPr>
          <w:rFonts w:ascii="Times New Roman" w:hAnsi="Times New Roman" w:cs="Times New Roman"/>
          <w:b/>
          <w:bCs/>
          <w:iCs/>
          <w:sz w:val="24"/>
          <w:szCs w:val="24"/>
          <w:u w:val="single"/>
        </w:rPr>
        <w:t>6</w:t>
      </w:r>
    </w:p>
    <w:p w:rsidR="00F443AA" w:rsidRPr="00FB16A0" w:rsidRDefault="00644D45" w:rsidP="004C6889">
      <w:pPr>
        <w:keepNext/>
        <w:shd w:val="clear" w:color="auto" w:fill="FFFFFF"/>
        <w:spacing w:before="100" w:beforeAutospacing="1" w:after="100" w:afterAutospacing="1" w:line="300" w:lineRule="atLeast"/>
        <w:rPr>
          <w:rFonts w:ascii="Times New Roman" w:eastAsia="Times New Roman" w:hAnsi="Times New Roman" w:cs="Times New Roman"/>
          <w:b/>
          <w:i/>
          <w:sz w:val="24"/>
          <w:szCs w:val="24"/>
        </w:rPr>
      </w:pPr>
      <w:r w:rsidRPr="00FB16A0">
        <w:rPr>
          <w:rFonts w:ascii="Times New Roman" w:eastAsia="Times New Roman" w:hAnsi="Times New Roman" w:cs="Times New Roman"/>
          <w:b/>
          <w:i/>
          <w:sz w:val="24"/>
          <w:szCs w:val="24"/>
        </w:rPr>
        <w:t>I</w:t>
      </w:r>
      <w:r w:rsidR="00F443AA" w:rsidRPr="00FB16A0">
        <w:rPr>
          <w:rFonts w:ascii="Times New Roman" w:eastAsia="Times New Roman" w:hAnsi="Times New Roman" w:cs="Times New Roman"/>
          <w:b/>
          <w:i/>
          <w:sz w:val="24"/>
          <w:szCs w:val="24"/>
        </w:rPr>
        <w:t>ncrease the font size and bold the BBLs on all notices and include a reminder to carefully check BBLs on checks or other forms of payments.</w:t>
      </w:r>
    </w:p>
    <w:p w:rsidR="00D92E56" w:rsidRPr="00D92E56" w:rsidRDefault="00D92E56" w:rsidP="00D92E56">
      <w:pPr>
        <w:keepNext/>
        <w:shd w:val="clear" w:color="auto" w:fill="FFFFFF"/>
        <w:spacing w:before="100" w:beforeAutospacing="1" w:after="100" w:afterAutospacing="1" w:line="300" w:lineRule="atLeast"/>
        <w:rPr>
          <w:rFonts w:ascii="Times New Roman" w:hAnsi="Times New Roman" w:cs="Times New Roman"/>
          <w:b/>
          <w:sz w:val="24"/>
          <w:szCs w:val="24"/>
        </w:rPr>
      </w:pPr>
      <w:r w:rsidRPr="00D92E56">
        <w:rPr>
          <w:rFonts w:ascii="Times New Roman" w:hAnsi="Times New Roman" w:cs="Times New Roman"/>
          <w:b/>
          <w:sz w:val="24"/>
          <w:szCs w:val="24"/>
        </w:rPr>
        <w:t xml:space="preserve">DOF </w:t>
      </w:r>
      <w:r w:rsidR="00D52070">
        <w:rPr>
          <w:rFonts w:ascii="Times New Roman" w:hAnsi="Times New Roman" w:cs="Times New Roman"/>
          <w:b/>
          <w:sz w:val="24"/>
          <w:szCs w:val="24"/>
        </w:rPr>
        <w:t>Action</w:t>
      </w:r>
      <w:r w:rsidRPr="00D92E56">
        <w:rPr>
          <w:rFonts w:ascii="Times New Roman" w:hAnsi="Times New Roman" w:cs="Times New Roman"/>
          <w:b/>
          <w:sz w:val="24"/>
          <w:szCs w:val="24"/>
        </w:rPr>
        <w:t>:</w:t>
      </w:r>
    </w:p>
    <w:p w:rsidR="00F764A2" w:rsidRPr="007E1FD2" w:rsidRDefault="00105CCD" w:rsidP="002A6A91">
      <w:pPr>
        <w:rPr>
          <w:rFonts w:ascii="Times New Roman" w:hAnsi="Times New Roman" w:cs="Times New Roman"/>
          <w:sz w:val="24"/>
          <w:szCs w:val="24"/>
        </w:rPr>
      </w:pPr>
      <w:r w:rsidRPr="00FB16A0">
        <w:rPr>
          <w:rFonts w:ascii="Times New Roman" w:hAnsi="Times New Roman" w:cs="Times New Roman"/>
          <w:sz w:val="24"/>
          <w:szCs w:val="24"/>
        </w:rPr>
        <w:t xml:space="preserve">Many </w:t>
      </w:r>
      <w:r>
        <w:rPr>
          <w:rFonts w:ascii="Times New Roman" w:hAnsi="Times New Roman" w:cs="Times New Roman"/>
          <w:sz w:val="24"/>
          <w:szCs w:val="24"/>
        </w:rPr>
        <w:t xml:space="preserve">of DOF’s </w:t>
      </w:r>
      <w:r w:rsidRPr="00FB16A0">
        <w:rPr>
          <w:rFonts w:ascii="Times New Roman" w:hAnsi="Times New Roman" w:cs="Times New Roman"/>
          <w:sz w:val="24"/>
          <w:szCs w:val="24"/>
        </w:rPr>
        <w:t xml:space="preserve">notices, such as the quarterly property tax bill, already have large fonts and bold </w:t>
      </w:r>
      <w:r w:rsidR="00190B63">
        <w:rPr>
          <w:rFonts w:ascii="Times New Roman" w:hAnsi="Times New Roman" w:cs="Times New Roman"/>
          <w:sz w:val="24"/>
          <w:szCs w:val="24"/>
        </w:rPr>
        <w:t>Borough, Block and Lot number</w:t>
      </w:r>
      <w:r w:rsidRPr="00FB16A0">
        <w:rPr>
          <w:rFonts w:ascii="Times New Roman" w:hAnsi="Times New Roman" w:cs="Times New Roman"/>
          <w:sz w:val="24"/>
          <w:szCs w:val="24"/>
        </w:rPr>
        <w:t>s</w:t>
      </w:r>
      <w:r w:rsidR="00190B63">
        <w:rPr>
          <w:rFonts w:ascii="Times New Roman" w:hAnsi="Times New Roman" w:cs="Times New Roman"/>
          <w:sz w:val="24"/>
          <w:szCs w:val="24"/>
        </w:rPr>
        <w:t xml:space="preserve"> (“BBLs”)</w:t>
      </w:r>
      <w:r w:rsidRPr="00FB16A0">
        <w:rPr>
          <w:rFonts w:ascii="Times New Roman" w:hAnsi="Times New Roman" w:cs="Times New Roman"/>
          <w:sz w:val="24"/>
          <w:szCs w:val="24"/>
        </w:rPr>
        <w:t xml:space="preserve">. </w:t>
      </w:r>
      <w:r w:rsidR="008E5FAF" w:rsidRPr="00FB16A0">
        <w:rPr>
          <w:rFonts w:ascii="Times New Roman" w:hAnsi="Times New Roman" w:cs="Times New Roman"/>
          <w:sz w:val="24"/>
          <w:szCs w:val="24"/>
        </w:rPr>
        <w:t>DOF</w:t>
      </w:r>
      <w:r w:rsidR="005B24B6">
        <w:rPr>
          <w:rFonts w:ascii="Times New Roman" w:hAnsi="Times New Roman" w:cs="Times New Roman"/>
          <w:sz w:val="24"/>
          <w:szCs w:val="24"/>
        </w:rPr>
        <w:t xml:space="preserve"> </w:t>
      </w:r>
      <w:r w:rsidR="008657DC">
        <w:rPr>
          <w:rFonts w:ascii="Times New Roman" w:hAnsi="Times New Roman" w:cs="Times New Roman"/>
          <w:sz w:val="24"/>
          <w:szCs w:val="24"/>
        </w:rPr>
        <w:t>agrees that critical information on forms and not</w:t>
      </w:r>
      <w:r w:rsidR="008E766F">
        <w:rPr>
          <w:rFonts w:ascii="Times New Roman" w:hAnsi="Times New Roman" w:cs="Times New Roman"/>
          <w:sz w:val="24"/>
          <w:szCs w:val="24"/>
        </w:rPr>
        <w:t>ices should be highlighted</w:t>
      </w:r>
      <w:r w:rsidR="00971EAC">
        <w:rPr>
          <w:rFonts w:ascii="Times New Roman" w:hAnsi="Times New Roman" w:cs="Times New Roman"/>
          <w:sz w:val="24"/>
          <w:szCs w:val="24"/>
        </w:rPr>
        <w:t xml:space="preserve">. </w:t>
      </w:r>
      <w:r w:rsidR="008657DC">
        <w:rPr>
          <w:rFonts w:ascii="Times New Roman" w:hAnsi="Times New Roman" w:cs="Times New Roman"/>
          <w:sz w:val="24"/>
          <w:szCs w:val="24"/>
        </w:rPr>
        <w:t xml:space="preserve">DOF </w:t>
      </w:r>
      <w:r w:rsidR="005B24B6">
        <w:rPr>
          <w:rFonts w:ascii="Times New Roman" w:hAnsi="Times New Roman" w:cs="Times New Roman"/>
          <w:sz w:val="24"/>
          <w:szCs w:val="24"/>
        </w:rPr>
        <w:t xml:space="preserve">has reviewed the </w:t>
      </w:r>
      <w:r w:rsidR="00DA09EF">
        <w:rPr>
          <w:rFonts w:ascii="Times New Roman" w:hAnsi="Times New Roman" w:cs="Times New Roman"/>
          <w:sz w:val="24"/>
          <w:szCs w:val="24"/>
        </w:rPr>
        <w:t>Notice of Property Value (“</w:t>
      </w:r>
      <w:r w:rsidR="005B24B6">
        <w:rPr>
          <w:rFonts w:ascii="Times New Roman" w:hAnsi="Times New Roman" w:cs="Times New Roman"/>
          <w:sz w:val="24"/>
          <w:szCs w:val="24"/>
        </w:rPr>
        <w:t>NOPV</w:t>
      </w:r>
      <w:r w:rsidR="00DA09EF">
        <w:rPr>
          <w:rFonts w:ascii="Times New Roman" w:hAnsi="Times New Roman" w:cs="Times New Roman"/>
          <w:sz w:val="24"/>
          <w:szCs w:val="24"/>
        </w:rPr>
        <w:t>”)</w:t>
      </w:r>
      <w:r w:rsidR="005B24B6">
        <w:rPr>
          <w:rFonts w:ascii="Times New Roman" w:hAnsi="Times New Roman" w:cs="Times New Roman"/>
          <w:sz w:val="24"/>
          <w:szCs w:val="24"/>
        </w:rPr>
        <w:t xml:space="preserve"> and worked with </w:t>
      </w:r>
      <w:r w:rsidR="004C6889">
        <w:rPr>
          <w:rFonts w:ascii="Times New Roman" w:hAnsi="Times New Roman" w:cs="Times New Roman"/>
          <w:sz w:val="24"/>
          <w:szCs w:val="24"/>
        </w:rPr>
        <w:t xml:space="preserve">a not-for-profit research firm </w:t>
      </w:r>
      <w:r w:rsidR="005B24B6">
        <w:rPr>
          <w:rFonts w:ascii="Times New Roman" w:hAnsi="Times New Roman" w:cs="Times New Roman"/>
          <w:sz w:val="24"/>
          <w:szCs w:val="24"/>
        </w:rPr>
        <w:t>to</w:t>
      </w:r>
      <w:r w:rsidR="0030673D">
        <w:rPr>
          <w:rFonts w:ascii="Times New Roman" w:hAnsi="Times New Roman" w:cs="Times New Roman"/>
          <w:sz w:val="24"/>
          <w:szCs w:val="24"/>
        </w:rPr>
        <w:t xml:space="preserve"> </w:t>
      </w:r>
      <w:r w:rsidR="005B24B6">
        <w:rPr>
          <w:rFonts w:ascii="Times New Roman" w:hAnsi="Times New Roman" w:cs="Times New Roman"/>
          <w:sz w:val="24"/>
          <w:szCs w:val="24"/>
        </w:rPr>
        <w:t xml:space="preserve">include large-print inserts </w:t>
      </w:r>
      <w:r w:rsidR="00DA09EF">
        <w:rPr>
          <w:rFonts w:ascii="Times New Roman" w:hAnsi="Times New Roman" w:cs="Times New Roman"/>
          <w:sz w:val="24"/>
          <w:szCs w:val="24"/>
        </w:rPr>
        <w:t xml:space="preserve">and </w:t>
      </w:r>
      <w:r w:rsidR="0030673D">
        <w:rPr>
          <w:rFonts w:ascii="Times New Roman" w:hAnsi="Times New Roman" w:cs="Times New Roman"/>
          <w:sz w:val="24"/>
          <w:szCs w:val="24"/>
        </w:rPr>
        <w:t xml:space="preserve">identify </w:t>
      </w:r>
      <w:r w:rsidR="00190B63">
        <w:rPr>
          <w:rFonts w:ascii="Times New Roman" w:hAnsi="Times New Roman" w:cs="Times New Roman"/>
          <w:sz w:val="24"/>
          <w:szCs w:val="24"/>
        </w:rPr>
        <w:t xml:space="preserve">ways to </w:t>
      </w:r>
      <w:r w:rsidR="00DA09EF">
        <w:rPr>
          <w:rFonts w:ascii="Times New Roman" w:hAnsi="Times New Roman" w:cs="Times New Roman"/>
          <w:sz w:val="24"/>
          <w:szCs w:val="24"/>
        </w:rPr>
        <w:t>highlight</w:t>
      </w:r>
      <w:r w:rsidR="005B24B6">
        <w:rPr>
          <w:rFonts w:ascii="Times New Roman" w:hAnsi="Times New Roman" w:cs="Times New Roman"/>
          <w:sz w:val="24"/>
          <w:szCs w:val="24"/>
        </w:rPr>
        <w:t xml:space="preserve"> </w:t>
      </w:r>
      <w:r w:rsidR="00DA09EF">
        <w:rPr>
          <w:rFonts w:ascii="Times New Roman" w:hAnsi="Times New Roman" w:cs="Times New Roman"/>
          <w:sz w:val="24"/>
          <w:szCs w:val="24"/>
        </w:rPr>
        <w:t xml:space="preserve">important </w:t>
      </w:r>
      <w:r w:rsidR="005B24B6">
        <w:rPr>
          <w:rFonts w:ascii="Times New Roman" w:hAnsi="Times New Roman" w:cs="Times New Roman"/>
          <w:sz w:val="24"/>
          <w:szCs w:val="24"/>
        </w:rPr>
        <w:t>information</w:t>
      </w:r>
      <w:r w:rsidR="0030673D">
        <w:rPr>
          <w:rFonts w:ascii="Times New Roman" w:hAnsi="Times New Roman" w:cs="Times New Roman"/>
          <w:sz w:val="24"/>
          <w:szCs w:val="24"/>
        </w:rPr>
        <w:t xml:space="preserve"> such as how to correct information that is not accurate. </w:t>
      </w:r>
    </w:p>
    <w:p w:rsidR="002F411E" w:rsidRPr="002F411E" w:rsidRDefault="002F411E" w:rsidP="002F411E">
      <w:pPr>
        <w:keepNext/>
        <w:shd w:val="clear" w:color="auto" w:fill="FFFFFF"/>
        <w:spacing w:before="100" w:beforeAutospacing="1" w:after="100" w:afterAutospacing="1" w:line="300" w:lineRule="atLeast"/>
        <w:rPr>
          <w:rFonts w:ascii="Times New Roman" w:eastAsia="Times New Roman" w:hAnsi="Times New Roman" w:cs="Times New Roman"/>
          <w:sz w:val="24"/>
          <w:szCs w:val="24"/>
          <w:u w:val="single"/>
        </w:rPr>
      </w:pPr>
      <w:r w:rsidRPr="002F411E">
        <w:rPr>
          <w:rFonts w:ascii="Times New Roman" w:hAnsi="Times New Roman" w:cs="Times New Roman"/>
          <w:b/>
          <w:bCs/>
          <w:iCs/>
          <w:sz w:val="24"/>
          <w:szCs w:val="24"/>
          <w:u w:val="single"/>
        </w:rPr>
        <w:t xml:space="preserve">Recommendation No. </w:t>
      </w:r>
      <w:r>
        <w:rPr>
          <w:rFonts w:ascii="Times New Roman" w:hAnsi="Times New Roman" w:cs="Times New Roman"/>
          <w:b/>
          <w:bCs/>
          <w:iCs/>
          <w:sz w:val="24"/>
          <w:szCs w:val="24"/>
          <w:u w:val="single"/>
        </w:rPr>
        <w:t>7</w:t>
      </w:r>
    </w:p>
    <w:p w:rsidR="001C3FDE" w:rsidRDefault="00F764A2" w:rsidP="00510594">
      <w:pPr>
        <w:keepNext/>
        <w:shd w:val="clear" w:color="auto" w:fill="FFFFFF"/>
        <w:spacing w:before="100" w:beforeAutospacing="1" w:after="100" w:afterAutospacing="1" w:line="300" w:lineRule="atLeast"/>
        <w:rPr>
          <w:rFonts w:ascii="Times New Roman" w:hAnsi="Times New Roman" w:cs="Times New Roman"/>
          <w:b/>
          <w:i/>
          <w:sz w:val="24"/>
          <w:szCs w:val="24"/>
        </w:rPr>
      </w:pPr>
      <w:r w:rsidRPr="00FB16A0">
        <w:rPr>
          <w:rFonts w:ascii="Times New Roman" w:hAnsi="Times New Roman" w:cs="Times New Roman"/>
          <w:b/>
          <w:i/>
          <w:sz w:val="24"/>
          <w:szCs w:val="24"/>
        </w:rPr>
        <w:t xml:space="preserve">Conduct focus groups to determine how to </w:t>
      </w:r>
      <w:r w:rsidR="001C3FDE">
        <w:rPr>
          <w:rFonts w:ascii="Times New Roman" w:hAnsi="Times New Roman" w:cs="Times New Roman"/>
          <w:b/>
          <w:i/>
          <w:sz w:val="24"/>
          <w:szCs w:val="24"/>
        </w:rPr>
        <w:t>change the Notices of Property V</w:t>
      </w:r>
      <w:r w:rsidRPr="00FB16A0">
        <w:rPr>
          <w:rFonts w:ascii="Times New Roman" w:hAnsi="Times New Roman" w:cs="Times New Roman"/>
          <w:b/>
          <w:i/>
          <w:sz w:val="24"/>
          <w:szCs w:val="24"/>
        </w:rPr>
        <w:t>alue</w:t>
      </w:r>
      <w:r w:rsidR="000B1CB2" w:rsidRPr="00FB16A0">
        <w:rPr>
          <w:rFonts w:ascii="Times New Roman" w:hAnsi="Times New Roman" w:cs="Times New Roman"/>
          <w:b/>
          <w:i/>
          <w:sz w:val="24"/>
          <w:szCs w:val="24"/>
        </w:rPr>
        <w:t xml:space="preserve"> to make them more understandable, especially to Class 1 property owners. </w:t>
      </w:r>
    </w:p>
    <w:p w:rsidR="00D92E56" w:rsidRPr="00D92E56" w:rsidRDefault="00D92E56" w:rsidP="00D92E56">
      <w:pPr>
        <w:keepNext/>
        <w:shd w:val="clear" w:color="auto" w:fill="FFFFFF"/>
        <w:spacing w:before="100" w:beforeAutospacing="1" w:after="100" w:afterAutospacing="1" w:line="300" w:lineRule="atLeast"/>
        <w:rPr>
          <w:rFonts w:ascii="Times New Roman" w:hAnsi="Times New Roman" w:cs="Times New Roman"/>
          <w:b/>
          <w:sz w:val="24"/>
          <w:szCs w:val="24"/>
        </w:rPr>
      </w:pPr>
      <w:r w:rsidRPr="00D92E56">
        <w:rPr>
          <w:rFonts w:ascii="Times New Roman" w:hAnsi="Times New Roman" w:cs="Times New Roman"/>
          <w:b/>
          <w:sz w:val="24"/>
          <w:szCs w:val="24"/>
        </w:rPr>
        <w:t xml:space="preserve">DOF </w:t>
      </w:r>
      <w:r w:rsidR="00D52070">
        <w:rPr>
          <w:rFonts w:ascii="Times New Roman" w:hAnsi="Times New Roman" w:cs="Times New Roman"/>
          <w:b/>
          <w:sz w:val="24"/>
          <w:szCs w:val="24"/>
        </w:rPr>
        <w:t>Action</w:t>
      </w:r>
      <w:r w:rsidRPr="00D92E56">
        <w:rPr>
          <w:rFonts w:ascii="Times New Roman" w:hAnsi="Times New Roman" w:cs="Times New Roman"/>
          <w:b/>
          <w:sz w:val="24"/>
          <w:szCs w:val="24"/>
        </w:rPr>
        <w:t>:</w:t>
      </w:r>
    </w:p>
    <w:p w:rsidR="000B1CB2" w:rsidRPr="00FB16A0" w:rsidRDefault="001C3FDE" w:rsidP="00AA5C5D">
      <w:pPr>
        <w:shd w:val="clear" w:color="auto" w:fill="FFFFFF"/>
        <w:tabs>
          <w:tab w:val="left" w:pos="810"/>
          <w:tab w:val="left" w:pos="990"/>
        </w:tabs>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DOF</w:t>
      </w:r>
      <w:r w:rsidR="00765F7F">
        <w:rPr>
          <w:rFonts w:ascii="Times New Roman" w:eastAsia="Times New Roman" w:hAnsi="Times New Roman" w:cs="Times New Roman"/>
          <w:sz w:val="24"/>
          <w:szCs w:val="24"/>
        </w:rPr>
        <w:t xml:space="preserve"> agrees that the NOPV should be as clear </w:t>
      </w:r>
      <w:r w:rsidR="00971EAC">
        <w:rPr>
          <w:rFonts w:ascii="Times New Roman" w:eastAsia="Times New Roman" w:hAnsi="Times New Roman" w:cs="Times New Roman"/>
          <w:sz w:val="24"/>
          <w:szCs w:val="24"/>
        </w:rPr>
        <w:t>and understandable as possible.</w:t>
      </w:r>
      <w:r w:rsidR="00765F7F">
        <w:rPr>
          <w:rFonts w:ascii="Times New Roman" w:eastAsia="Times New Roman" w:hAnsi="Times New Roman" w:cs="Times New Roman"/>
          <w:sz w:val="24"/>
          <w:szCs w:val="24"/>
        </w:rPr>
        <w:t xml:space="preserve"> DOF </w:t>
      </w:r>
      <w:r w:rsidR="00765F7F">
        <w:rPr>
          <w:rFonts w:ascii="Times New Roman" w:hAnsi="Times New Roman" w:cs="Times New Roman"/>
          <w:sz w:val="24"/>
          <w:szCs w:val="24"/>
        </w:rPr>
        <w:t xml:space="preserve">regularly solicits </w:t>
      </w:r>
      <w:r w:rsidR="00765F7F" w:rsidRPr="00FB16A0">
        <w:rPr>
          <w:rFonts w:ascii="Times New Roman" w:hAnsi="Times New Roman" w:cs="Times New Roman"/>
          <w:sz w:val="24"/>
          <w:szCs w:val="24"/>
        </w:rPr>
        <w:t>feedback from property owners at NOPV outreach</w:t>
      </w:r>
      <w:r w:rsidR="0030673D">
        <w:rPr>
          <w:rFonts w:ascii="Times New Roman" w:hAnsi="Times New Roman" w:cs="Times New Roman"/>
          <w:sz w:val="24"/>
          <w:szCs w:val="24"/>
        </w:rPr>
        <w:t xml:space="preserve"> events.  </w:t>
      </w:r>
      <w:r w:rsidR="00765F7F">
        <w:rPr>
          <w:rFonts w:ascii="Times New Roman" w:hAnsi="Times New Roman" w:cs="Times New Roman"/>
          <w:sz w:val="24"/>
          <w:szCs w:val="24"/>
        </w:rPr>
        <w:t xml:space="preserve">DOF has also </w:t>
      </w:r>
      <w:r w:rsidR="00AA5C5D">
        <w:rPr>
          <w:rFonts w:ascii="Times New Roman" w:eastAsia="Times New Roman" w:hAnsi="Times New Roman" w:cs="Times New Roman"/>
          <w:sz w:val="24"/>
          <w:szCs w:val="24"/>
        </w:rPr>
        <w:t xml:space="preserve">received </w:t>
      </w:r>
      <w:r w:rsidR="00765F7F">
        <w:rPr>
          <w:rFonts w:ascii="Times New Roman" w:eastAsia="Times New Roman" w:hAnsi="Times New Roman" w:cs="Times New Roman"/>
          <w:sz w:val="24"/>
          <w:szCs w:val="24"/>
        </w:rPr>
        <w:t xml:space="preserve">input from focus groups </w:t>
      </w:r>
      <w:r w:rsidR="00AA5C5D">
        <w:rPr>
          <w:rFonts w:ascii="Times New Roman" w:eastAsia="Times New Roman" w:hAnsi="Times New Roman" w:cs="Times New Roman"/>
          <w:sz w:val="24"/>
          <w:szCs w:val="24"/>
        </w:rPr>
        <w:t xml:space="preserve">of </w:t>
      </w:r>
      <w:r w:rsidR="00AA5C5D" w:rsidRPr="00FB16A0">
        <w:rPr>
          <w:rFonts w:ascii="Times New Roman" w:eastAsia="Times New Roman" w:hAnsi="Times New Roman" w:cs="Times New Roman"/>
          <w:sz w:val="24"/>
          <w:szCs w:val="24"/>
        </w:rPr>
        <w:t>Class 1 property owners</w:t>
      </w:r>
      <w:r w:rsidR="0030673D">
        <w:rPr>
          <w:rFonts w:ascii="Times New Roman" w:eastAsia="Times New Roman" w:hAnsi="Times New Roman" w:cs="Times New Roman"/>
          <w:sz w:val="24"/>
          <w:szCs w:val="24"/>
        </w:rPr>
        <w:t xml:space="preserve"> on</w:t>
      </w:r>
      <w:r w:rsidR="00765F7F">
        <w:rPr>
          <w:rFonts w:ascii="Times New Roman" w:eastAsia="Times New Roman" w:hAnsi="Times New Roman" w:cs="Times New Roman"/>
          <w:sz w:val="24"/>
          <w:szCs w:val="24"/>
        </w:rPr>
        <w:t xml:space="preserve"> re</w:t>
      </w:r>
      <w:r w:rsidR="008013DC" w:rsidRPr="00FB16A0">
        <w:rPr>
          <w:rFonts w:ascii="Times New Roman" w:eastAsia="Times New Roman" w:hAnsi="Times New Roman" w:cs="Times New Roman"/>
          <w:sz w:val="24"/>
          <w:szCs w:val="24"/>
        </w:rPr>
        <w:t>desig</w:t>
      </w:r>
      <w:r w:rsidR="00AA5C5D">
        <w:rPr>
          <w:rFonts w:ascii="Times New Roman" w:eastAsia="Times New Roman" w:hAnsi="Times New Roman" w:cs="Times New Roman"/>
          <w:sz w:val="24"/>
          <w:szCs w:val="24"/>
        </w:rPr>
        <w:t>n</w:t>
      </w:r>
      <w:r w:rsidR="0030673D">
        <w:rPr>
          <w:rFonts w:ascii="Times New Roman" w:eastAsia="Times New Roman" w:hAnsi="Times New Roman" w:cs="Times New Roman"/>
          <w:sz w:val="24"/>
          <w:szCs w:val="24"/>
        </w:rPr>
        <w:t>ing</w:t>
      </w:r>
      <w:r w:rsidR="00765F7F">
        <w:rPr>
          <w:rFonts w:ascii="Times New Roman" w:eastAsia="Times New Roman" w:hAnsi="Times New Roman" w:cs="Times New Roman"/>
          <w:sz w:val="24"/>
          <w:szCs w:val="24"/>
        </w:rPr>
        <w:t xml:space="preserve"> the NOPV</w:t>
      </w:r>
      <w:r w:rsidR="008013DC" w:rsidRPr="00FB16A0">
        <w:rPr>
          <w:rFonts w:ascii="Times New Roman" w:eastAsia="Times New Roman" w:hAnsi="Times New Roman" w:cs="Times New Roman"/>
          <w:sz w:val="24"/>
          <w:szCs w:val="24"/>
        </w:rPr>
        <w:t xml:space="preserve"> </w:t>
      </w:r>
      <w:r w:rsidR="00AA5C5D">
        <w:rPr>
          <w:rFonts w:ascii="Times New Roman" w:eastAsia="Times New Roman" w:hAnsi="Times New Roman" w:cs="Times New Roman"/>
          <w:sz w:val="24"/>
          <w:szCs w:val="24"/>
        </w:rPr>
        <w:t>and P</w:t>
      </w:r>
      <w:r w:rsidR="008013DC" w:rsidRPr="00FB16A0">
        <w:rPr>
          <w:rFonts w:ascii="Times New Roman" w:eastAsia="Times New Roman" w:hAnsi="Times New Roman" w:cs="Times New Roman"/>
          <w:sz w:val="24"/>
          <w:szCs w:val="24"/>
        </w:rPr>
        <w:t xml:space="preserve">roperty </w:t>
      </w:r>
      <w:r w:rsidR="00AA5C5D">
        <w:rPr>
          <w:rFonts w:ascii="Times New Roman" w:eastAsia="Times New Roman" w:hAnsi="Times New Roman" w:cs="Times New Roman"/>
          <w:sz w:val="24"/>
          <w:szCs w:val="24"/>
        </w:rPr>
        <w:t>T</w:t>
      </w:r>
      <w:r w:rsidR="008013DC" w:rsidRPr="00FB16A0">
        <w:rPr>
          <w:rFonts w:ascii="Times New Roman" w:eastAsia="Times New Roman" w:hAnsi="Times New Roman" w:cs="Times New Roman"/>
          <w:sz w:val="24"/>
          <w:szCs w:val="24"/>
        </w:rPr>
        <w:t xml:space="preserve">ax </w:t>
      </w:r>
      <w:r w:rsidR="00AA5C5D">
        <w:rPr>
          <w:rFonts w:ascii="Times New Roman" w:eastAsia="Times New Roman" w:hAnsi="Times New Roman" w:cs="Times New Roman"/>
          <w:sz w:val="24"/>
          <w:szCs w:val="24"/>
        </w:rPr>
        <w:lastRenderedPageBreak/>
        <w:t>G</w:t>
      </w:r>
      <w:r w:rsidR="008013DC" w:rsidRPr="00FB16A0">
        <w:rPr>
          <w:rFonts w:ascii="Times New Roman" w:eastAsia="Times New Roman" w:hAnsi="Times New Roman" w:cs="Times New Roman"/>
          <w:sz w:val="24"/>
          <w:szCs w:val="24"/>
        </w:rPr>
        <w:t>uides</w:t>
      </w:r>
      <w:r w:rsidR="00AA5C5D">
        <w:rPr>
          <w:rFonts w:ascii="Times New Roman" w:eastAsia="Times New Roman" w:hAnsi="Times New Roman" w:cs="Times New Roman"/>
          <w:sz w:val="24"/>
          <w:szCs w:val="24"/>
        </w:rPr>
        <w:t>.</w:t>
      </w:r>
      <w:r w:rsidR="008013DC" w:rsidRPr="00FB16A0">
        <w:rPr>
          <w:rFonts w:ascii="Times New Roman" w:eastAsia="Times New Roman" w:hAnsi="Times New Roman" w:cs="Times New Roman"/>
          <w:sz w:val="24"/>
          <w:szCs w:val="24"/>
        </w:rPr>
        <w:t xml:space="preserve"> </w:t>
      </w:r>
      <w:r w:rsidR="00765F7F">
        <w:rPr>
          <w:rFonts w:ascii="Times New Roman" w:eastAsia="Times New Roman" w:hAnsi="Times New Roman" w:cs="Times New Roman"/>
          <w:sz w:val="24"/>
          <w:szCs w:val="24"/>
        </w:rPr>
        <w:t xml:space="preserve">As a result, DOF is considering including mathematical derivation of Effective Market Value (“EMV”) and information about how the NYC </w:t>
      </w:r>
      <w:r w:rsidR="008013DC" w:rsidRPr="00FB16A0">
        <w:rPr>
          <w:rFonts w:ascii="Times New Roman" w:eastAsia="Times New Roman" w:hAnsi="Times New Roman" w:cs="Times New Roman"/>
          <w:sz w:val="24"/>
          <w:szCs w:val="24"/>
        </w:rPr>
        <w:t xml:space="preserve">Tax Commission </w:t>
      </w:r>
      <w:r w:rsidR="00765F7F">
        <w:rPr>
          <w:rFonts w:ascii="Times New Roman" w:eastAsia="Times New Roman" w:hAnsi="Times New Roman" w:cs="Times New Roman"/>
          <w:sz w:val="24"/>
          <w:szCs w:val="24"/>
        </w:rPr>
        <w:t xml:space="preserve">can reduce a property’s assessment based on </w:t>
      </w:r>
      <w:r w:rsidR="002E1BB6" w:rsidRPr="00FB16A0">
        <w:rPr>
          <w:rFonts w:ascii="Times New Roman" w:eastAsia="Times New Roman" w:hAnsi="Times New Roman" w:cs="Times New Roman"/>
          <w:sz w:val="24"/>
          <w:szCs w:val="24"/>
        </w:rPr>
        <w:t>EM</w:t>
      </w:r>
      <w:r w:rsidR="00416A44">
        <w:rPr>
          <w:rFonts w:ascii="Times New Roman" w:eastAsia="Times New Roman" w:hAnsi="Times New Roman" w:cs="Times New Roman"/>
          <w:sz w:val="24"/>
          <w:szCs w:val="24"/>
        </w:rPr>
        <w:t>V.</w:t>
      </w:r>
    </w:p>
    <w:p w:rsidR="002F411E" w:rsidRPr="00312AA5" w:rsidRDefault="002F411E" w:rsidP="002F411E">
      <w:pPr>
        <w:keepNext/>
        <w:shd w:val="clear" w:color="auto" w:fill="FFFFFF"/>
        <w:spacing w:before="100" w:beforeAutospacing="1" w:after="100" w:afterAutospacing="1" w:line="300" w:lineRule="atLeast"/>
        <w:rPr>
          <w:rFonts w:ascii="Times New Roman" w:eastAsia="Times New Roman" w:hAnsi="Times New Roman" w:cs="Times New Roman"/>
          <w:sz w:val="24"/>
          <w:szCs w:val="24"/>
          <w:u w:val="single"/>
        </w:rPr>
      </w:pPr>
      <w:r w:rsidRPr="00312AA5">
        <w:rPr>
          <w:rFonts w:ascii="Times New Roman" w:hAnsi="Times New Roman" w:cs="Times New Roman"/>
          <w:b/>
          <w:bCs/>
          <w:iCs/>
          <w:sz w:val="24"/>
          <w:szCs w:val="24"/>
          <w:u w:val="single"/>
        </w:rPr>
        <w:t>Recommendation No. 8</w:t>
      </w:r>
    </w:p>
    <w:p w:rsidR="002F7DE4" w:rsidRPr="00312AA5" w:rsidRDefault="002F7DE4" w:rsidP="002F7DE4">
      <w:pPr>
        <w:keepNext/>
        <w:shd w:val="clear" w:color="auto" w:fill="FFFFFF"/>
        <w:spacing w:before="100" w:beforeAutospacing="1" w:after="100" w:afterAutospacing="1" w:line="300" w:lineRule="atLeast"/>
        <w:rPr>
          <w:rFonts w:ascii="Times New Roman" w:eastAsia="Times New Roman" w:hAnsi="Times New Roman" w:cs="Times New Roman"/>
          <w:b/>
          <w:i/>
          <w:sz w:val="24"/>
          <w:szCs w:val="24"/>
        </w:rPr>
      </w:pPr>
      <w:r w:rsidRPr="00312AA5">
        <w:rPr>
          <w:rFonts w:ascii="Times New Roman" w:hAnsi="Times New Roman" w:cs="Times New Roman"/>
          <w:b/>
          <w:i/>
          <w:sz w:val="24"/>
          <w:szCs w:val="24"/>
        </w:rPr>
        <w:t>Publish more easy-to-understand guidance, such as brochures, to make it easier for the public to understand (1) how DOF uses RPIE information to determine the income and expenses of Class 2 and Class 4 properties, including simple Frequently Asked Questions; (2) how property is assessed (such as publishing assessor manuals and Frequently Asked Questions about how different classes of properties are valued); and (3) interpretations of property laws that have a general application to property owners.</w:t>
      </w:r>
    </w:p>
    <w:p w:rsidR="00D92E56" w:rsidRPr="00312AA5" w:rsidRDefault="00D92E56" w:rsidP="00D92E56">
      <w:pPr>
        <w:keepNext/>
        <w:shd w:val="clear" w:color="auto" w:fill="FFFFFF"/>
        <w:spacing w:before="100" w:beforeAutospacing="1" w:after="100" w:afterAutospacing="1" w:line="300" w:lineRule="atLeast"/>
        <w:rPr>
          <w:rFonts w:ascii="Times New Roman" w:hAnsi="Times New Roman" w:cs="Times New Roman"/>
          <w:b/>
          <w:sz w:val="24"/>
          <w:szCs w:val="24"/>
        </w:rPr>
      </w:pPr>
      <w:r w:rsidRPr="00312AA5">
        <w:rPr>
          <w:rFonts w:ascii="Times New Roman" w:hAnsi="Times New Roman" w:cs="Times New Roman"/>
          <w:b/>
          <w:sz w:val="24"/>
          <w:szCs w:val="24"/>
        </w:rPr>
        <w:t xml:space="preserve">DOF </w:t>
      </w:r>
      <w:r w:rsidR="00D52070" w:rsidRPr="00312AA5">
        <w:rPr>
          <w:rFonts w:ascii="Times New Roman" w:hAnsi="Times New Roman" w:cs="Times New Roman"/>
          <w:b/>
          <w:sz w:val="24"/>
          <w:szCs w:val="24"/>
        </w:rPr>
        <w:t>Action</w:t>
      </w:r>
      <w:r w:rsidRPr="00312AA5">
        <w:rPr>
          <w:rFonts w:ascii="Times New Roman" w:hAnsi="Times New Roman" w:cs="Times New Roman"/>
          <w:b/>
          <w:sz w:val="24"/>
          <w:szCs w:val="24"/>
        </w:rPr>
        <w:t>:</w:t>
      </w:r>
    </w:p>
    <w:p w:rsidR="00312AA5" w:rsidRPr="008F73DC" w:rsidRDefault="008F73DC" w:rsidP="008F73DC">
      <w:pPr>
        <w:rPr>
          <w:rFonts w:ascii="Times New Roman" w:eastAsia="Times New Roman" w:hAnsi="Times New Roman" w:cs="Times New Roman"/>
          <w:sz w:val="24"/>
          <w:szCs w:val="24"/>
        </w:rPr>
      </w:pPr>
      <w:r w:rsidRPr="008F73DC">
        <w:rPr>
          <w:rFonts w:ascii="Times New Roman" w:eastAsia="Times New Roman" w:hAnsi="Times New Roman" w:cs="Times New Roman"/>
          <w:sz w:val="24"/>
          <w:szCs w:val="24"/>
        </w:rPr>
        <w:t xml:space="preserve">DOF uses RPIE data to establish valuation guidelines for tax class 2 and 4 by utilizing building categories (BCAT's). A BCAT describes a building classification (use), type and location. Categories are broad to </w:t>
      </w:r>
      <w:r>
        <w:rPr>
          <w:rFonts w:ascii="Times New Roman" w:eastAsia="Times New Roman" w:hAnsi="Times New Roman" w:cs="Times New Roman"/>
          <w:sz w:val="24"/>
          <w:szCs w:val="24"/>
        </w:rPr>
        <w:t>provide data (guidelines) that is</w:t>
      </w:r>
      <w:r w:rsidRPr="008F73DC">
        <w:rPr>
          <w:rFonts w:ascii="Times New Roman" w:eastAsia="Times New Roman" w:hAnsi="Times New Roman" w:cs="Times New Roman"/>
          <w:sz w:val="24"/>
          <w:szCs w:val="24"/>
        </w:rPr>
        <w:t xml:space="preserve"> representative of the population.</w:t>
      </w:r>
    </w:p>
    <w:p w:rsidR="002F411E" w:rsidRPr="002F411E" w:rsidRDefault="002F411E" w:rsidP="002F411E">
      <w:pPr>
        <w:keepNext/>
        <w:shd w:val="clear" w:color="auto" w:fill="FFFFFF"/>
        <w:spacing w:before="100" w:beforeAutospacing="1" w:after="100" w:afterAutospacing="1" w:line="300" w:lineRule="atLeast"/>
        <w:rPr>
          <w:rFonts w:ascii="Times New Roman" w:eastAsia="Times New Roman" w:hAnsi="Times New Roman" w:cs="Times New Roman"/>
          <w:sz w:val="24"/>
          <w:szCs w:val="24"/>
          <w:u w:val="single"/>
        </w:rPr>
      </w:pPr>
      <w:r w:rsidRPr="002F411E">
        <w:rPr>
          <w:rFonts w:ascii="Times New Roman" w:hAnsi="Times New Roman" w:cs="Times New Roman"/>
          <w:b/>
          <w:bCs/>
          <w:iCs/>
          <w:sz w:val="24"/>
          <w:szCs w:val="24"/>
          <w:u w:val="single"/>
        </w:rPr>
        <w:t xml:space="preserve">Recommendation No. </w:t>
      </w:r>
      <w:r>
        <w:rPr>
          <w:rFonts w:ascii="Times New Roman" w:hAnsi="Times New Roman" w:cs="Times New Roman"/>
          <w:b/>
          <w:bCs/>
          <w:iCs/>
          <w:sz w:val="24"/>
          <w:szCs w:val="24"/>
          <w:u w:val="single"/>
        </w:rPr>
        <w:t>9</w:t>
      </w:r>
    </w:p>
    <w:p w:rsidR="00F443AA" w:rsidRPr="00FB16A0" w:rsidRDefault="00644D45" w:rsidP="00510594">
      <w:pPr>
        <w:keepNext/>
        <w:rPr>
          <w:rFonts w:ascii="Times New Roman" w:eastAsia="Times New Roman" w:hAnsi="Times New Roman" w:cs="Times New Roman"/>
          <w:sz w:val="24"/>
          <w:szCs w:val="24"/>
        </w:rPr>
      </w:pPr>
      <w:r w:rsidRPr="00FB16A0">
        <w:rPr>
          <w:rFonts w:ascii="Times New Roman" w:eastAsia="Times New Roman" w:hAnsi="Times New Roman" w:cs="Times New Roman"/>
          <w:b/>
          <w:i/>
          <w:sz w:val="24"/>
          <w:szCs w:val="24"/>
        </w:rPr>
        <w:t>S</w:t>
      </w:r>
      <w:r w:rsidR="00F443AA" w:rsidRPr="00FB16A0">
        <w:rPr>
          <w:rFonts w:ascii="Times New Roman" w:eastAsia="Times New Roman" w:hAnsi="Times New Roman" w:cs="Times New Roman"/>
          <w:b/>
          <w:i/>
          <w:sz w:val="24"/>
          <w:szCs w:val="24"/>
        </w:rPr>
        <w:t xml:space="preserve">tudy ways to decrease mistakes </w:t>
      </w:r>
      <w:r w:rsidR="006F3026">
        <w:rPr>
          <w:rFonts w:ascii="Times New Roman" w:eastAsia="Times New Roman" w:hAnsi="Times New Roman" w:cs="Times New Roman"/>
          <w:b/>
          <w:i/>
          <w:sz w:val="24"/>
          <w:szCs w:val="24"/>
        </w:rPr>
        <w:t>managing a</w:t>
      </w:r>
      <w:r w:rsidR="00F443AA" w:rsidRPr="00FB16A0">
        <w:rPr>
          <w:rFonts w:ascii="Times New Roman" w:eastAsia="Times New Roman" w:hAnsi="Times New Roman" w:cs="Times New Roman"/>
          <w:b/>
          <w:i/>
          <w:sz w:val="24"/>
          <w:szCs w:val="24"/>
        </w:rPr>
        <w:t>gents make in certifying primary residences of cooperative unit holders</w:t>
      </w:r>
      <w:r w:rsidR="00E4626F" w:rsidRPr="00FB16A0">
        <w:rPr>
          <w:rFonts w:ascii="Times New Roman" w:eastAsia="Times New Roman" w:hAnsi="Times New Roman" w:cs="Times New Roman"/>
          <w:sz w:val="24"/>
          <w:szCs w:val="24"/>
        </w:rPr>
        <w:t>.</w:t>
      </w:r>
    </w:p>
    <w:p w:rsidR="00D92E56" w:rsidRPr="00D92E56" w:rsidRDefault="00D92E56" w:rsidP="00D92E56">
      <w:pPr>
        <w:keepNext/>
        <w:shd w:val="clear" w:color="auto" w:fill="FFFFFF"/>
        <w:spacing w:before="100" w:beforeAutospacing="1" w:after="100" w:afterAutospacing="1" w:line="300" w:lineRule="atLeast"/>
        <w:rPr>
          <w:rFonts w:ascii="Times New Roman" w:hAnsi="Times New Roman" w:cs="Times New Roman"/>
          <w:b/>
          <w:sz w:val="24"/>
          <w:szCs w:val="24"/>
        </w:rPr>
      </w:pPr>
      <w:r w:rsidRPr="00D92E56">
        <w:rPr>
          <w:rFonts w:ascii="Times New Roman" w:hAnsi="Times New Roman" w:cs="Times New Roman"/>
          <w:b/>
          <w:sz w:val="24"/>
          <w:szCs w:val="24"/>
        </w:rPr>
        <w:t xml:space="preserve">DOF </w:t>
      </w:r>
      <w:r w:rsidR="00D52070">
        <w:rPr>
          <w:rFonts w:ascii="Times New Roman" w:hAnsi="Times New Roman" w:cs="Times New Roman"/>
          <w:b/>
          <w:sz w:val="24"/>
          <w:szCs w:val="24"/>
        </w:rPr>
        <w:t>Action</w:t>
      </w:r>
      <w:r w:rsidRPr="00D92E56">
        <w:rPr>
          <w:rFonts w:ascii="Times New Roman" w:hAnsi="Times New Roman" w:cs="Times New Roman"/>
          <w:b/>
          <w:sz w:val="24"/>
          <w:szCs w:val="24"/>
        </w:rPr>
        <w:t>:</w:t>
      </w:r>
    </w:p>
    <w:p w:rsidR="0030673D" w:rsidRDefault="001C68EC" w:rsidP="002A6A91">
      <w:pPr>
        <w:rPr>
          <w:rFonts w:ascii="Times New Roman" w:hAnsi="Times New Roman" w:cs="Times New Roman"/>
          <w:sz w:val="24"/>
          <w:szCs w:val="24"/>
        </w:rPr>
      </w:pPr>
      <w:r w:rsidRPr="00FB16A0">
        <w:rPr>
          <w:rFonts w:ascii="Times New Roman" w:hAnsi="Times New Roman" w:cs="Times New Roman"/>
          <w:sz w:val="24"/>
          <w:szCs w:val="24"/>
        </w:rPr>
        <w:t xml:space="preserve">DOF </w:t>
      </w:r>
      <w:r w:rsidR="00B60C3D">
        <w:rPr>
          <w:rFonts w:ascii="Times New Roman" w:hAnsi="Times New Roman" w:cs="Times New Roman"/>
          <w:sz w:val="24"/>
          <w:szCs w:val="24"/>
        </w:rPr>
        <w:t xml:space="preserve">agrees that improvement can be made to decrease </w:t>
      </w:r>
      <w:r w:rsidR="0030673D">
        <w:rPr>
          <w:rFonts w:ascii="Times New Roman" w:hAnsi="Times New Roman" w:cs="Times New Roman"/>
          <w:sz w:val="24"/>
          <w:szCs w:val="24"/>
        </w:rPr>
        <w:t xml:space="preserve">mistakes </w:t>
      </w:r>
      <w:r w:rsidR="00B60C3D">
        <w:rPr>
          <w:rFonts w:ascii="Times New Roman" w:hAnsi="Times New Roman" w:cs="Times New Roman"/>
          <w:sz w:val="24"/>
          <w:szCs w:val="24"/>
        </w:rPr>
        <w:t>made by managing agents in certifying primary residences of cooperative unit holders.</w:t>
      </w:r>
      <w:r w:rsidR="00971EAC">
        <w:rPr>
          <w:rFonts w:ascii="Times New Roman" w:hAnsi="Times New Roman" w:cs="Times New Roman"/>
          <w:sz w:val="24"/>
          <w:szCs w:val="24"/>
        </w:rPr>
        <w:t xml:space="preserve"> </w:t>
      </w:r>
      <w:r w:rsidR="00B60C3D">
        <w:rPr>
          <w:rFonts w:ascii="Times New Roman" w:hAnsi="Times New Roman" w:cs="Times New Roman"/>
          <w:sz w:val="24"/>
          <w:szCs w:val="24"/>
        </w:rPr>
        <w:t xml:space="preserve">DOF </w:t>
      </w:r>
      <w:r w:rsidR="009966E7" w:rsidRPr="00FB16A0">
        <w:rPr>
          <w:rFonts w:ascii="Times New Roman" w:hAnsi="Times New Roman" w:cs="Times New Roman"/>
          <w:sz w:val="24"/>
          <w:szCs w:val="24"/>
        </w:rPr>
        <w:t xml:space="preserve">is </w:t>
      </w:r>
      <w:r w:rsidR="006F3026">
        <w:rPr>
          <w:rFonts w:ascii="Times New Roman" w:hAnsi="Times New Roman" w:cs="Times New Roman"/>
          <w:sz w:val="24"/>
          <w:szCs w:val="24"/>
        </w:rPr>
        <w:t>assessing</w:t>
      </w:r>
      <w:r w:rsidRPr="00FB16A0">
        <w:rPr>
          <w:rFonts w:ascii="Times New Roman" w:hAnsi="Times New Roman" w:cs="Times New Roman"/>
          <w:sz w:val="24"/>
          <w:szCs w:val="24"/>
        </w:rPr>
        <w:t xml:space="preserve"> the </w:t>
      </w:r>
      <w:r w:rsidR="00905E80">
        <w:rPr>
          <w:rFonts w:ascii="Times New Roman" w:hAnsi="Times New Roman" w:cs="Times New Roman"/>
          <w:sz w:val="24"/>
          <w:szCs w:val="24"/>
        </w:rPr>
        <w:t xml:space="preserve">extent to which errors can be corrected through better communication </w:t>
      </w:r>
      <w:r w:rsidR="0030673D">
        <w:rPr>
          <w:rFonts w:ascii="Times New Roman" w:hAnsi="Times New Roman" w:cs="Times New Roman"/>
          <w:sz w:val="24"/>
          <w:szCs w:val="24"/>
        </w:rPr>
        <w:t xml:space="preserve">or reporting procedures </w:t>
      </w:r>
      <w:r w:rsidR="00905E80">
        <w:rPr>
          <w:rFonts w:ascii="Times New Roman" w:hAnsi="Times New Roman" w:cs="Times New Roman"/>
          <w:sz w:val="24"/>
          <w:szCs w:val="24"/>
        </w:rPr>
        <w:t>between</w:t>
      </w:r>
      <w:r w:rsidR="009966E7" w:rsidRPr="00FB16A0">
        <w:rPr>
          <w:rFonts w:ascii="Times New Roman" w:hAnsi="Times New Roman" w:cs="Times New Roman"/>
          <w:sz w:val="24"/>
          <w:szCs w:val="24"/>
        </w:rPr>
        <w:t xml:space="preserve"> </w:t>
      </w:r>
      <w:r w:rsidR="00B60C3D">
        <w:rPr>
          <w:rFonts w:ascii="Times New Roman" w:hAnsi="Times New Roman" w:cs="Times New Roman"/>
          <w:sz w:val="24"/>
          <w:szCs w:val="24"/>
        </w:rPr>
        <w:t xml:space="preserve">owners </w:t>
      </w:r>
      <w:r w:rsidR="009966E7" w:rsidRPr="00FB16A0">
        <w:rPr>
          <w:rFonts w:ascii="Times New Roman" w:hAnsi="Times New Roman" w:cs="Times New Roman"/>
          <w:sz w:val="24"/>
          <w:szCs w:val="24"/>
        </w:rPr>
        <w:t>and managing agent</w:t>
      </w:r>
      <w:r w:rsidR="00905E80">
        <w:rPr>
          <w:rFonts w:ascii="Times New Roman" w:hAnsi="Times New Roman" w:cs="Times New Roman"/>
          <w:sz w:val="24"/>
          <w:szCs w:val="24"/>
        </w:rPr>
        <w:t>s</w:t>
      </w:r>
      <w:r w:rsidR="0030673D">
        <w:rPr>
          <w:rFonts w:ascii="Times New Roman" w:hAnsi="Times New Roman" w:cs="Times New Roman"/>
          <w:sz w:val="24"/>
          <w:szCs w:val="24"/>
        </w:rPr>
        <w:t xml:space="preserve">, and clarifying the </w:t>
      </w:r>
      <w:r w:rsidR="00F13962" w:rsidRPr="00FB16A0">
        <w:rPr>
          <w:rFonts w:ascii="Times New Roman" w:hAnsi="Times New Roman" w:cs="Times New Roman"/>
          <w:sz w:val="24"/>
          <w:szCs w:val="24"/>
        </w:rPr>
        <w:t>defin</w:t>
      </w:r>
      <w:r w:rsidR="00DA539A">
        <w:rPr>
          <w:rFonts w:ascii="Times New Roman" w:hAnsi="Times New Roman" w:cs="Times New Roman"/>
          <w:sz w:val="24"/>
          <w:szCs w:val="24"/>
        </w:rPr>
        <w:t>ition</w:t>
      </w:r>
      <w:r w:rsidR="002F411E">
        <w:rPr>
          <w:rFonts w:ascii="Times New Roman" w:hAnsi="Times New Roman" w:cs="Times New Roman"/>
          <w:sz w:val="24"/>
          <w:szCs w:val="24"/>
        </w:rPr>
        <w:t xml:space="preserve"> of</w:t>
      </w:r>
      <w:r w:rsidR="0030673D">
        <w:rPr>
          <w:rFonts w:ascii="Times New Roman" w:hAnsi="Times New Roman" w:cs="Times New Roman"/>
          <w:sz w:val="24"/>
          <w:szCs w:val="24"/>
        </w:rPr>
        <w:t xml:space="preserve"> </w:t>
      </w:r>
      <w:r w:rsidR="00F13962" w:rsidRPr="00FB16A0">
        <w:rPr>
          <w:rFonts w:ascii="Times New Roman" w:hAnsi="Times New Roman" w:cs="Times New Roman"/>
          <w:sz w:val="24"/>
          <w:szCs w:val="24"/>
        </w:rPr>
        <w:t>primary residence</w:t>
      </w:r>
      <w:r w:rsidR="0030673D">
        <w:rPr>
          <w:rFonts w:ascii="Times New Roman" w:hAnsi="Times New Roman" w:cs="Times New Roman"/>
          <w:sz w:val="24"/>
          <w:szCs w:val="24"/>
        </w:rPr>
        <w:t>.</w:t>
      </w:r>
    </w:p>
    <w:p w:rsidR="00F64795" w:rsidRPr="00FB16A0" w:rsidRDefault="00F64795" w:rsidP="002A6A91">
      <w:pPr>
        <w:rPr>
          <w:rFonts w:ascii="Times New Roman" w:hAnsi="Times New Roman" w:cs="Times New Roman"/>
          <w:sz w:val="24"/>
          <w:szCs w:val="24"/>
        </w:rPr>
      </w:pPr>
      <w:r>
        <w:rPr>
          <w:rFonts w:ascii="Times New Roman" w:hAnsi="Times New Roman" w:cs="Times New Roman"/>
          <w:sz w:val="24"/>
          <w:szCs w:val="24"/>
        </w:rPr>
        <w:t xml:space="preserve">DOF </w:t>
      </w:r>
      <w:r w:rsidR="00330F19">
        <w:rPr>
          <w:rFonts w:ascii="Times New Roman" w:hAnsi="Times New Roman" w:cs="Times New Roman"/>
          <w:sz w:val="24"/>
          <w:szCs w:val="24"/>
        </w:rPr>
        <w:t>will</w:t>
      </w:r>
      <w:r>
        <w:rPr>
          <w:rFonts w:ascii="Times New Roman" w:hAnsi="Times New Roman" w:cs="Times New Roman"/>
          <w:sz w:val="24"/>
          <w:szCs w:val="24"/>
        </w:rPr>
        <w:t xml:space="preserve"> send a one-time mailing </w:t>
      </w:r>
      <w:r w:rsidR="00B60C3D">
        <w:rPr>
          <w:rFonts w:ascii="Times New Roman" w:hAnsi="Times New Roman" w:cs="Times New Roman"/>
          <w:sz w:val="24"/>
          <w:szCs w:val="24"/>
        </w:rPr>
        <w:t xml:space="preserve">to condominium owners for whom DOF does not have sufficient information to establish their primary residency which will </w:t>
      </w:r>
      <w:r>
        <w:rPr>
          <w:rFonts w:ascii="Times New Roman" w:hAnsi="Times New Roman" w:cs="Times New Roman"/>
          <w:sz w:val="24"/>
          <w:szCs w:val="24"/>
        </w:rPr>
        <w:t xml:space="preserve">allow </w:t>
      </w:r>
      <w:r w:rsidR="00B739E9">
        <w:rPr>
          <w:rFonts w:ascii="Times New Roman" w:hAnsi="Times New Roman" w:cs="Times New Roman"/>
          <w:sz w:val="24"/>
          <w:szCs w:val="24"/>
        </w:rPr>
        <w:t>them to self-certify. M</w:t>
      </w:r>
      <w:r>
        <w:rPr>
          <w:rFonts w:ascii="Times New Roman" w:hAnsi="Times New Roman" w:cs="Times New Roman"/>
          <w:sz w:val="24"/>
          <w:szCs w:val="24"/>
        </w:rPr>
        <w:t xml:space="preserve">anaging agents </w:t>
      </w:r>
      <w:r w:rsidR="00B739E9">
        <w:rPr>
          <w:rFonts w:ascii="Times New Roman" w:hAnsi="Times New Roman" w:cs="Times New Roman"/>
          <w:sz w:val="24"/>
          <w:szCs w:val="24"/>
        </w:rPr>
        <w:t>are legally required to provide</w:t>
      </w:r>
      <w:r w:rsidRPr="00F64795">
        <w:rPr>
          <w:rFonts w:ascii="Times New Roman" w:hAnsi="Times New Roman" w:cs="Times New Roman"/>
          <w:sz w:val="24"/>
          <w:szCs w:val="24"/>
        </w:rPr>
        <w:t xml:space="preserve"> information on the eligibility of co-op and condominium owners for abatements</w:t>
      </w:r>
      <w:r w:rsidR="00B739E9">
        <w:rPr>
          <w:rFonts w:ascii="Times New Roman" w:hAnsi="Times New Roman" w:cs="Times New Roman"/>
          <w:sz w:val="24"/>
          <w:szCs w:val="24"/>
        </w:rPr>
        <w:t xml:space="preserve">, and can now do so </w:t>
      </w:r>
      <w:r w:rsidRPr="00F64795">
        <w:rPr>
          <w:rFonts w:ascii="Times New Roman" w:hAnsi="Times New Roman" w:cs="Times New Roman"/>
          <w:sz w:val="24"/>
          <w:szCs w:val="24"/>
        </w:rPr>
        <w:t>electronically.</w:t>
      </w:r>
    </w:p>
    <w:p w:rsidR="00581F82" w:rsidRPr="002F411E" w:rsidRDefault="002F411E" w:rsidP="002F411E">
      <w:pPr>
        <w:keepNext/>
        <w:shd w:val="clear" w:color="auto" w:fill="FFFFFF"/>
        <w:spacing w:before="100" w:beforeAutospacing="1" w:after="100" w:afterAutospacing="1" w:line="300" w:lineRule="atLeast"/>
        <w:rPr>
          <w:rFonts w:ascii="Times New Roman" w:eastAsia="Times New Roman" w:hAnsi="Times New Roman" w:cs="Times New Roman"/>
          <w:sz w:val="24"/>
          <w:szCs w:val="24"/>
          <w:u w:val="single"/>
        </w:rPr>
      </w:pPr>
      <w:r w:rsidRPr="002F411E">
        <w:rPr>
          <w:rFonts w:ascii="Times New Roman" w:hAnsi="Times New Roman" w:cs="Times New Roman"/>
          <w:b/>
          <w:bCs/>
          <w:iCs/>
          <w:sz w:val="24"/>
          <w:szCs w:val="24"/>
          <w:u w:val="single"/>
        </w:rPr>
        <w:lastRenderedPageBreak/>
        <w:t xml:space="preserve">Recommendation No. </w:t>
      </w:r>
      <w:r>
        <w:rPr>
          <w:rFonts w:ascii="Times New Roman" w:hAnsi="Times New Roman" w:cs="Times New Roman"/>
          <w:b/>
          <w:bCs/>
          <w:iCs/>
          <w:sz w:val="24"/>
          <w:szCs w:val="24"/>
          <w:u w:val="single"/>
        </w:rPr>
        <w:t>10</w:t>
      </w:r>
    </w:p>
    <w:p w:rsidR="00E4626F" w:rsidRPr="00FB16A0" w:rsidRDefault="00644D45" w:rsidP="006F3026">
      <w:pPr>
        <w:keepNext/>
        <w:shd w:val="clear" w:color="auto" w:fill="FFFFFF"/>
        <w:tabs>
          <w:tab w:val="left" w:pos="720"/>
        </w:tabs>
        <w:spacing w:after="0" w:line="300" w:lineRule="atLeast"/>
        <w:rPr>
          <w:rFonts w:ascii="Times New Roman" w:eastAsia="Times New Roman" w:hAnsi="Times New Roman" w:cs="Times New Roman"/>
          <w:sz w:val="24"/>
          <w:szCs w:val="24"/>
        </w:rPr>
      </w:pPr>
      <w:r w:rsidRPr="00FB16A0">
        <w:rPr>
          <w:rFonts w:ascii="Times New Roman" w:eastAsia="Times New Roman" w:hAnsi="Times New Roman" w:cs="Times New Roman"/>
          <w:b/>
          <w:i/>
          <w:sz w:val="24"/>
          <w:szCs w:val="24"/>
        </w:rPr>
        <w:t>P</w:t>
      </w:r>
      <w:r w:rsidR="00E4626F" w:rsidRPr="00FB16A0">
        <w:rPr>
          <w:rFonts w:ascii="Times New Roman" w:eastAsia="Times New Roman" w:hAnsi="Times New Roman" w:cs="Times New Roman"/>
          <w:b/>
          <w:i/>
          <w:sz w:val="24"/>
          <w:szCs w:val="24"/>
        </w:rPr>
        <w:t xml:space="preserve">roduce subject matter training materials and an internal </w:t>
      </w:r>
      <w:r w:rsidR="006F3026">
        <w:rPr>
          <w:rFonts w:ascii="Times New Roman" w:eastAsia="Times New Roman" w:hAnsi="Times New Roman" w:cs="Times New Roman"/>
          <w:b/>
          <w:i/>
          <w:sz w:val="24"/>
          <w:szCs w:val="24"/>
        </w:rPr>
        <w:t>Department of Finance</w:t>
      </w:r>
      <w:r w:rsidR="00E4626F" w:rsidRPr="00FB16A0">
        <w:rPr>
          <w:rFonts w:ascii="Times New Roman" w:eastAsia="Times New Roman" w:hAnsi="Times New Roman" w:cs="Times New Roman"/>
          <w:b/>
          <w:i/>
          <w:sz w:val="24"/>
          <w:szCs w:val="24"/>
        </w:rPr>
        <w:t xml:space="preserve"> manual to standardize the advice that DOF employees give taxpayers</w:t>
      </w:r>
      <w:r w:rsidR="00E4626F" w:rsidRPr="00FB16A0">
        <w:rPr>
          <w:rFonts w:ascii="Times New Roman" w:eastAsia="Times New Roman" w:hAnsi="Times New Roman" w:cs="Times New Roman"/>
          <w:sz w:val="24"/>
          <w:szCs w:val="24"/>
        </w:rPr>
        <w:t>.</w:t>
      </w:r>
    </w:p>
    <w:p w:rsidR="00D92E56" w:rsidRPr="00D92E56" w:rsidRDefault="00D92E56" w:rsidP="00D92E56">
      <w:pPr>
        <w:keepNext/>
        <w:shd w:val="clear" w:color="auto" w:fill="FFFFFF"/>
        <w:spacing w:before="100" w:beforeAutospacing="1" w:after="100" w:afterAutospacing="1" w:line="300" w:lineRule="atLeast"/>
        <w:rPr>
          <w:rFonts w:ascii="Times New Roman" w:hAnsi="Times New Roman" w:cs="Times New Roman"/>
          <w:b/>
          <w:sz w:val="24"/>
          <w:szCs w:val="24"/>
        </w:rPr>
      </w:pPr>
      <w:r w:rsidRPr="00D92E56">
        <w:rPr>
          <w:rFonts w:ascii="Times New Roman" w:hAnsi="Times New Roman" w:cs="Times New Roman"/>
          <w:b/>
          <w:sz w:val="24"/>
          <w:szCs w:val="24"/>
        </w:rPr>
        <w:t xml:space="preserve">DOF </w:t>
      </w:r>
      <w:r w:rsidR="00D52070">
        <w:rPr>
          <w:rFonts w:ascii="Times New Roman" w:hAnsi="Times New Roman" w:cs="Times New Roman"/>
          <w:b/>
          <w:sz w:val="24"/>
          <w:szCs w:val="24"/>
        </w:rPr>
        <w:t>Action</w:t>
      </w:r>
      <w:r w:rsidRPr="00D92E56">
        <w:rPr>
          <w:rFonts w:ascii="Times New Roman" w:hAnsi="Times New Roman" w:cs="Times New Roman"/>
          <w:b/>
          <w:sz w:val="24"/>
          <w:szCs w:val="24"/>
        </w:rPr>
        <w:t>:</w:t>
      </w:r>
    </w:p>
    <w:p w:rsidR="00B739E9" w:rsidRDefault="00E4626F" w:rsidP="002A6A91">
      <w:pPr>
        <w:shd w:val="clear" w:color="auto" w:fill="FFFFFF"/>
        <w:tabs>
          <w:tab w:val="left" w:pos="810"/>
          <w:tab w:val="left" w:pos="990"/>
        </w:tabs>
        <w:spacing w:before="100" w:beforeAutospacing="1" w:after="100" w:afterAutospacing="1" w:line="300" w:lineRule="atLeast"/>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 xml:space="preserve">DOF </w:t>
      </w:r>
      <w:r w:rsidR="00B60C3D">
        <w:rPr>
          <w:rFonts w:ascii="Times New Roman" w:eastAsia="Times New Roman" w:hAnsi="Times New Roman" w:cs="Times New Roman"/>
          <w:sz w:val="24"/>
          <w:szCs w:val="24"/>
        </w:rPr>
        <w:t>agrees that information provided by the Department should be standardized to ensure con</w:t>
      </w:r>
      <w:r w:rsidR="00971EAC">
        <w:rPr>
          <w:rFonts w:ascii="Times New Roman" w:eastAsia="Times New Roman" w:hAnsi="Times New Roman" w:cs="Times New Roman"/>
          <w:sz w:val="24"/>
          <w:szCs w:val="24"/>
        </w:rPr>
        <w:t>sistent guidance to taxpayers</w:t>
      </w:r>
      <w:r w:rsidR="00B739E9">
        <w:rPr>
          <w:rFonts w:ascii="Times New Roman" w:eastAsia="Times New Roman" w:hAnsi="Times New Roman" w:cs="Times New Roman"/>
          <w:sz w:val="24"/>
          <w:szCs w:val="24"/>
        </w:rPr>
        <w:t xml:space="preserve">, and has </w:t>
      </w:r>
      <w:r w:rsidRPr="00FB16A0">
        <w:rPr>
          <w:rFonts w:ascii="Times New Roman" w:eastAsia="Times New Roman" w:hAnsi="Times New Roman" w:cs="Times New Roman"/>
          <w:sz w:val="24"/>
          <w:szCs w:val="24"/>
        </w:rPr>
        <w:t>approved the creation of an Internal Finance</w:t>
      </w:r>
      <w:r w:rsidR="00B60C3D">
        <w:rPr>
          <w:rFonts w:ascii="Times New Roman" w:eastAsia="Times New Roman" w:hAnsi="Times New Roman" w:cs="Times New Roman"/>
          <w:sz w:val="24"/>
          <w:szCs w:val="24"/>
        </w:rPr>
        <w:t xml:space="preserve"> Manual.</w:t>
      </w:r>
      <w:r w:rsidRPr="00FB16A0">
        <w:rPr>
          <w:rFonts w:ascii="Times New Roman" w:eastAsia="Times New Roman" w:hAnsi="Times New Roman" w:cs="Times New Roman"/>
          <w:sz w:val="24"/>
          <w:szCs w:val="24"/>
        </w:rPr>
        <w:t xml:space="preserve"> </w:t>
      </w:r>
      <w:r w:rsidR="00B60C3D">
        <w:rPr>
          <w:rFonts w:ascii="Times New Roman" w:eastAsia="Times New Roman" w:hAnsi="Times New Roman" w:cs="Times New Roman"/>
          <w:sz w:val="24"/>
          <w:szCs w:val="24"/>
        </w:rPr>
        <w:t xml:space="preserve">Sections related to OTA procedures </w:t>
      </w:r>
      <w:r w:rsidR="009D03F5" w:rsidRPr="00FB16A0">
        <w:rPr>
          <w:rFonts w:ascii="Times New Roman" w:eastAsia="Times New Roman" w:hAnsi="Times New Roman" w:cs="Times New Roman"/>
          <w:sz w:val="24"/>
          <w:szCs w:val="24"/>
        </w:rPr>
        <w:t>ha</w:t>
      </w:r>
      <w:r w:rsidR="00B60C3D">
        <w:rPr>
          <w:rFonts w:ascii="Times New Roman" w:eastAsia="Times New Roman" w:hAnsi="Times New Roman" w:cs="Times New Roman"/>
          <w:sz w:val="24"/>
          <w:szCs w:val="24"/>
        </w:rPr>
        <w:t>ve</w:t>
      </w:r>
      <w:r w:rsidR="009D03F5" w:rsidRPr="00FB16A0">
        <w:rPr>
          <w:rFonts w:ascii="Times New Roman" w:eastAsia="Times New Roman" w:hAnsi="Times New Roman" w:cs="Times New Roman"/>
          <w:sz w:val="24"/>
          <w:szCs w:val="24"/>
        </w:rPr>
        <w:t xml:space="preserve"> already been published electronically</w:t>
      </w:r>
      <w:r w:rsidRPr="00FB16A0">
        <w:rPr>
          <w:rFonts w:ascii="Times New Roman" w:eastAsia="Times New Roman" w:hAnsi="Times New Roman" w:cs="Times New Roman"/>
          <w:sz w:val="24"/>
          <w:szCs w:val="24"/>
        </w:rPr>
        <w:t xml:space="preserve">. </w:t>
      </w:r>
    </w:p>
    <w:p w:rsidR="00BD7745" w:rsidRPr="00FB16A0" w:rsidRDefault="00B739E9" w:rsidP="002A6A91">
      <w:pPr>
        <w:shd w:val="clear" w:color="auto" w:fill="FFFFFF"/>
        <w:tabs>
          <w:tab w:val="left" w:pos="810"/>
          <w:tab w:val="left" w:pos="990"/>
        </w:tabs>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DOF also supports</w:t>
      </w:r>
      <w:r w:rsidR="00E4626F" w:rsidRPr="00FB16A0">
        <w:rPr>
          <w:rFonts w:ascii="Times New Roman" w:eastAsia="Times New Roman" w:hAnsi="Times New Roman" w:cs="Times New Roman"/>
          <w:sz w:val="24"/>
          <w:szCs w:val="24"/>
        </w:rPr>
        <w:t xml:space="preserve"> OTA’s recommendation that a Penalty Working Group be formed to produce a section of the manual that describes the penalties that </w:t>
      </w:r>
      <w:r w:rsidR="00DA539A">
        <w:rPr>
          <w:rFonts w:ascii="Times New Roman" w:eastAsia="Times New Roman" w:hAnsi="Times New Roman" w:cs="Times New Roman"/>
          <w:sz w:val="24"/>
          <w:szCs w:val="24"/>
        </w:rPr>
        <w:t xml:space="preserve">DOF imposes, the circumstances under which such penalties can be </w:t>
      </w:r>
      <w:r w:rsidR="00E4626F" w:rsidRPr="00FB16A0">
        <w:rPr>
          <w:rFonts w:ascii="Times New Roman" w:eastAsia="Times New Roman" w:hAnsi="Times New Roman" w:cs="Times New Roman"/>
          <w:sz w:val="24"/>
          <w:szCs w:val="24"/>
        </w:rPr>
        <w:t>waived, the process for requ</w:t>
      </w:r>
      <w:r w:rsidR="00D26DE9" w:rsidRPr="00FB16A0">
        <w:rPr>
          <w:rFonts w:ascii="Times New Roman" w:eastAsia="Times New Roman" w:hAnsi="Times New Roman" w:cs="Times New Roman"/>
          <w:sz w:val="24"/>
          <w:szCs w:val="24"/>
        </w:rPr>
        <w:t>esting waiver</w:t>
      </w:r>
      <w:r w:rsidR="00B60C3D">
        <w:rPr>
          <w:rFonts w:ascii="Times New Roman" w:eastAsia="Times New Roman" w:hAnsi="Times New Roman" w:cs="Times New Roman"/>
          <w:sz w:val="24"/>
          <w:szCs w:val="24"/>
        </w:rPr>
        <w:t>s</w:t>
      </w:r>
      <w:r w:rsidR="00D26DE9" w:rsidRPr="00FB16A0">
        <w:rPr>
          <w:rFonts w:ascii="Times New Roman" w:eastAsia="Times New Roman" w:hAnsi="Times New Roman" w:cs="Times New Roman"/>
          <w:sz w:val="24"/>
          <w:szCs w:val="24"/>
        </w:rPr>
        <w:t>, and the legal/</w:t>
      </w:r>
      <w:r w:rsidR="00E4626F" w:rsidRPr="00FB16A0">
        <w:rPr>
          <w:rFonts w:ascii="Times New Roman" w:eastAsia="Times New Roman" w:hAnsi="Times New Roman" w:cs="Times New Roman"/>
          <w:sz w:val="24"/>
          <w:szCs w:val="24"/>
        </w:rPr>
        <w:t xml:space="preserve">policy basis for waiving penalties </w:t>
      </w:r>
      <w:r w:rsidR="00DA539A">
        <w:rPr>
          <w:rFonts w:ascii="Times New Roman" w:eastAsia="Times New Roman" w:hAnsi="Times New Roman" w:cs="Times New Roman"/>
          <w:sz w:val="24"/>
          <w:szCs w:val="24"/>
        </w:rPr>
        <w:t xml:space="preserve">for </w:t>
      </w:r>
      <w:r w:rsidR="00E4626F" w:rsidRPr="00FB16A0">
        <w:rPr>
          <w:rFonts w:ascii="Times New Roman" w:eastAsia="Times New Roman" w:hAnsi="Times New Roman" w:cs="Times New Roman"/>
          <w:sz w:val="24"/>
          <w:szCs w:val="24"/>
        </w:rPr>
        <w:t xml:space="preserve">reasonable cause. </w:t>
      </w:r>
      <w:r w:rsidR="00B60C3D">
        <w:rPr>
          <w:rFonts w:ascii="Times New Roman" w:eastAsia="Times New Roman" w:hAnsi="Times New Roman" w:cs="Times New Roman"/>
          <w:sz w:val="24"/>
          <w:szCs w:val="24"/>
        </w:rPr>
        <w:t xml:space="preserve">Another </w:t>
      </w:r>
      <w:r w:rsidR="00E4626F" w:rsidRPr="00FB16A0">
        <w:rPr>
          <w:rFonts w:ascii="Times New Roman" w:eastAsia="Times New Roman" w:hAnsi="Times New Roman" w:cs="Times New Roman"/>
          <w:sz w:val="24"/>
          <w:szCs w:val="24"/>
        </w:rPr>
        <w:t xml:space="preserve">section will </w:t>
      </w:r>
      <w:r w:rsidR="00B60C3D">
        <w:rPr>
          <w:rFonts w:ascii="Times New Roman" w:eastAsia="Times New Roman" w:hAnsi="Times New Roman" w:cs="Times New Roman"/>
          <w:sz w:val="24"/>
          <w:szCs w:val="24"/>
        </w:rPr>
        <w:t xml:space="preserve">provide information on applicable interest rates and </w:t>
      </w:r>
      <w:r w:rsidR="00E4626F" w:rsidRPr="00FB16A0">
        <w:rPr>
          <w:rFonts w:ascii="Times New Roman" w:eastAsia="Times New Roman" w:hAnsi="Times New Roman" w:cs="Times New Roman"/>
          <w:sz w:val="24"/>
          <w:szCs w:val="24"/>
        </w:rPr>
        <w:t>descri</w:t>
      </w:r>
      <w:r w:rsidR="00DA539A">
        <w:rPr>
          <w:rFonts w:ascii="Times New Roman" w:eastAsia="Times New Roman" w:hAnsi="Times New Roman" w:cs="Times New Roman"/>
          <w:sz w:val="24"/>
          <w:szCs w:val="24"/>
        </w:rPr>
        <w:t>be</w:t>
      </w:r>
      <w:r w:rsidR="00E4626F" w:rsidRPr="00FB16A0">
        <w:rPr>
          <w:rFonts w:ascii="Times New Roman" w:eastAsia="Times New Roman" w:hAnsi="Times New Roman" w:cs="Times New Roman"/>
          <w:sz w:val="24"/>
          <w:szCs w:val="24"/>
        </w:rPr>
        <w:t xml:space="preserve"> how interest is </w:t>
      </w:r>
      <w:r w:rsidR="00B60C3D">
        <w:rPr>
          <w:rFonts w:ascii="Times New Roman" w:eastAsia="Times New Roman" w:hAnsi="Times New Roman" w:cs="Times New Roman"/>
          <w:sz w:val="24"/>
          <w:szCs w:val="24"/>
        </w:rPr>
        <w:t>computed.</w:t>
      </w:r>
      <w:r w:rsidR="00971EAC">
        <w:rPr>
          <w:rFonts w:ascii="Times New Roman" w:eastAsia="Times New Roman" w:hAnsi="Times New Roman" w:cs="Times New Roman"/>
          <w:sz w:val="24"/>
          <w:szCs w:val="24"/>
        </w:rPr>
        <w:t xml:space="preserve"> </w:t>
      </w:r>
      <w:r w:rsidR="00E4626F" w:rsidRPr="00FB16A0">
        <w:rPr>
          <w:rFonts w:ascii="Times New Roman" w:eastAsia="Times New Roman" w:hAnsi="Times New Roman" w:cs="Times New Roman"/>
          <w:sz w:val="24"/>
          <w:szCs w:val="24"/>
        </w:rPr>
        <w:t xml:space="preserve">OTA </w:t>
      </w:r>
      <w:r w:rsidR="002F411E">
        <w:rPr>
          <w:rFonts w:ascii="Times New Roman" w:eastAsia="Times New Roman" w:hAnsi="Times New Roman" w:cs="Times New Roman"/>
          <w:sz w:val="24"/>
          <w:szCs w:val="24"/>
        </w:rPr>
        <w:t>will solicit input from</w:t>
      </w:r>
      <w:r w:rsidR="00E4626F" w:rsidRPr="00FB16A0">
        <w:rPr>
          <w:rFonts w:ascii="Times New Roman" w:eastAsia="Times New Roman" w:hAnsi="Times New Roman" w:cs="Times New Roman"/>
          <w:sz w:val="24"/>
          <w:szCs w:val="24"/>
        </w:rPr>
        <w:t xml:space="preserve"> pract</w:t>
      </w:r>
      <w:r w:rsidR="00F74456" w:rsidRPr="00FB16A0">
        <w:rPr>
          <w:rFonts w:ascii="Times New Roman" w:eastAsia="Times New Roman" w:hAnsi="Times New Roman" w:cs="Times New Roman"/>
          <w:sz w:val="24"/>
          <w:szCs w:val="24"/>
        </w:rPr>
        <w:t>itioner groups</w:t>
      </w:r>
      <w:r w:rsidR="00DA539A">
        <w:rPr>
          <w:rFonts w:ascii="Times New Roman" w:eastAsia="Times New Roman" w:hAnsi="Times New Roman" w:cs="Times New Roman"/>
          <w:sz w:val="24"/>
          <w:szCs w:val="24"/>
        </w:rPr>
        <w:t xml:space="preserve"> before the</w:t>
      </w:r>
      <w:r>
        <w:rPr>
          <w:rFonts w:ascii="Times New Roman" w:eastAsia="Times New Roman" w:hAnsi="Times New Roman" w:cs="Times New Roman"/>
          <w:sz w:val="24"/>
          <w:szCs w:val="24"/>
        </w:rPr>
        <w:t>se</w:t>
      </w:r>
      <w:r w:rsidR="00DA539A">
        <w:rPr>
          <w:rFonts w:ascii="Times New Roman" w:eastAsia="Times New Roman" w:hAnsi="Times New Roman" w:cs="Times New Roman"/>
          <w:sz w:val="24"/>
          <w:szCs w:val="24"/>
        </w:rPr>
        <w:t xml:space="preserve"> section</w:t>
      </w:r>
      <w:r>
        <w:rPr>
          <w:rFonts w:ascii="Times New Roman" w:eastAsia="Times New Roman" w:hAnsi="Times New Roman" w:cs="Times New Roman"/>
          <w:sz w:val="24"/>
          <w:szCs w:val="24"/>
        </w:rPr>
        <w:t>s are</w:t>
      </w:r>
      <w:r w:rsidR="00DA539A">
        <w:rPr>
          <w:rFonts w:ascii="Times New Roman" w:eastAsia="Times New Roman" w:hAnsi="Times New Roman" w:cs="Times New Roman"/>
          <w:sz w:val="24"/>
          <w:szCs w:val="24"/>
        </w:rPr>
        <w:t xml:space="preserve"> finalized.</w:t>
      </w:r>
    </w:p>
    <w:p w:rsidR="002F411E" w:rsidRPr="002F411E" w:rsidRDefault="002F411E" w:rsidP="002F411E">
      <w:pPr>
        <w:keepNext/>
        <w:shd w:val="clear" w:color="auto" w:fill="FFFFFF"/>
        <w:spacing w:before="100" w:beforeAutospacing="1" w:after="100" w:afterAutospacing="1" w:line="300" w:lineRule="atLeast"/>
        <w:rPr>
          <w:rFonts w:ascii="Times New Roman" w:eastAsia="Times New Roman" w:hAnsi="Times New Roman" w:cs="Times New Roman"/>
          <w:sz w:val="24"/>
          <w:szCs w:val="24"/>
          <w:u w:val="single"/>
        </w:rPr>
      </w:pPr>
      <w:r w:rsidRPr="002F411E">
        <w:rPr>
          <w:rFonts w:ascii="Times New Roman" w:hAnsi="Times New Roman" w:cs="Times New Roman"/>
          <w:b/>
          <w:bCs/>
          <w:iCs/>
          <w:sz w:val="24"/>
          <w:szCs w:val="24"/>
          <w:u w:val="single"/>
        </w:rPr>
        <w:t>Recommendation No</w:t>
      </w:r>
      <w:r>
        <w:rPr>
          <w:rFonts w:ascii="Times New Roman" w:hAnsi="Times New Roman" w:cs="Times New Roman"/>
          <w:b/>
          <w:bCs/>
          <w:iCs/>
          <w:sz w:val="24"/>
          <w:szCs w:val="24"/>
          <w:u w:val="single"/>
        </w:rPr>
        <w:t>. 11</w:t>
      </w:r>
    </w:p>
    <w:p w:rsidR="00F443AA" w:rsidRPr="00FB16A0" w:rsidRDefault="00644D45" w:rsidP="00D26DE9">
      <w:pPr>
        <w:keepNext/>
        <w:shd w:val="clear" w:color="auto" w:fill="FFFFFF"/>
        <w:spacing w:before="100" w:beforeAutospacing="1" w:after="100" w:afterAutospacing="1" w:line="300" w:lineRule="atLeast"/>
        <w:rPr>
          <w:rFonts w:ascii="Times New Roman" w:eastAsia="Times New Roman" w:hAnsi="Times New Roman" w:cs="Times New Roman"/>
          <w:b/>
          <w:i/>
          <w:sz w:val="24"/>
          <w:szCs w:val="24"/>
        </w:rPr>
      </w:pPr>
      <w:r w:rsidRPr="00FB16A0">
        <w:rPr>
          <w:rFonts w:ascii="Times New Roman" w:eastAsia="Times New Roman" w:hAnsi="Times New Roman" w:cs="Times New Roman"/>
          <w:b/>
          <w:i/>
          <w:sz w:val="24"/>
          <w:szCs w:val="24"/>
        </w:rPr>
        <w:t>S</w:t>
      </w:r>
      <w:r w:rsidR="00F443AA" w:rsidRPr="00FB16A0">
        <w:rPr>
          <w:rFonts w:ascii="Times New Roman" w:eastAsia="Times New Roman" w:hAnsi="Times New Roman" w:cs="Times New Roman"/>
          <w:b/>
          <w:i/>
          <w:sz w:val="24"/>
          <w:szCs w:val="24"/>
        </w:rPr>
        <w:t>hare with practitioners proposed changes to forms and notices in time to incorporate their suggestions before the forms and notices are finalized.</w:t>
      </w:r>
    </w:p>
    <w:p w:rsidR="00D92E56" w:rsidRPr="00D92E56" w:rsidRDefault="00D92E56" w:rsidP="00D92E56">
      <w:pPr>
        <w:keepNext/>
        <w:shd w:val="clear" w:color="auto" w:fill="FFFFFF"/>
        <w:spacing w:before="100" w:beforeAutospacing="1" w:after="100" w:afterAutospacing="1" w:line="300" w:lineRule="atLeast"/>
        <w:rPr>
          <w:rFonts w:ascii="Times New Roman" w:hAnsi="Times New Roman" w:cs="Times New Roman"/>
          <w:b/>
          <w:sz w:val="24"/>
          <w:szCs w:val="24"/>
        </w:rPr>
      </w:pPr>
      <w:r w:rsidRPr="00D92E56">
        <w:rPr>
          <w:rFonts w:ascii="Times New Roman" w:hAnsi="Times New Roman" w:cs="Times New Roman"/>
          <w:b/>
          <w:sz w:val="24"/>
          <w:szCs w:val="24"/>
        </w:rPr>
        <w:t xml:space="preserve">DOF </w:t>
      </w:r>
      <w:r w:rsidR="00D52070">
        <w:rPr>
          <w:rFonts w:ascii="Times New Roman" w:hAnsi="Times New Roman" w:cs="Times New Roman"/>
          <w:b/>
          <w:sz w:val="24"/>
          <w:szCs w:val="24"/>
        </w:rPr>
        <w:t>Action</w:t>
      </w:r>
      <w:r w:rsidRPr="00D92E56">
        <w:rPr>
          <w:rFonts w:ascii="Times New Roman" w:hAnsi="Times New Roman" w:cs="Times New Roman"/>
          <w:b/>
          <w:sz w:val="24"/>
          <w:szCs w:val="24"/>
        </w:rPr>
        <w:t>:</w:t>
      </w:r>
    </w:p>
    <w:p w:rsidR="004B4428" w:rsidRDefault="00C9731E" w:rsidP="001619EF">
      <w:pPr>
        <w:rPr>
          <w:rFonts w:ascii="Times New Roman" w:hAnsi="Times New Roman" w:cs="Times New Roman"/>
          <w:sz w:val="24"/>
          <w:szCs w:val="24"/>
        </w:rPr>
      </w:pPr>
      <w:r>
        <w:rPr>
          <w:rFonts w:ascii="Times New Roman" w:hAnsi="Times New Roman" w:cs="Times New Roman"/>
          <w:sz w:val="24"/>
          <w:szCs w:val="24"/>
        </w:rPr>
        <w:t xml:space="preserve">DOF agrees that engaging with our external partners and practitioners prior to establishing new policies or procedures is </w:t>
      </w:r>
      <w:r w:rsidR="00EE0FEF">
        <w:rPr>
          <w:rFonts w:ascii="Times New Roman" w:hAnsi="Times New Roman" w:cs="Times New Roman"/>
          <w:sz w:val="24"/>
          <w:szCs w:val="24"/>
        </w:rPr>
        <w:t>crucial.</w:t>
      </w:r>
      <w:r w:rsidR="00971EAC">
        <w:rPr>
          <w:rFonts w:ascii="Times New Roman" w:hAnsi="Times New Roman" w:cs="Times New Roman"/>
          <w:sz w:val="24"/>
          <w:szCs w:val="24"/>
        </w:rPr>
        <w:t xml:space="preserve"> </w:t>
      </w:r>
      <w:r w:rsidR="00D25876" w:rsidRPr="00FB16A0">
        <w:rPr>
          <w:rFonts w:ascii="Times New Roman" w:hAnsi="Times New Roman" w:cs="Times New Roman"/>
          <w:sz w:val="24"/>
          <w:szCs w:val="24"/>
        </w:rPr>
        <w:t xml:space="preserve">The Commissioner </w:t>
      </w:r>
      <w:r w:rsidR="00EE0FEF">
        <w:rPr>
          <w:rFonts w:ascii="Times New Roman" w:hAnsi="Times New Roman" w:cs="Times New Roman"/>
          <w:sz w:val="24"/>
          <w:szCs w:val="24"/>
        </w:rPr>
        <w:t xml:space="preserve">has </w:t>
      </w:r>
      <w:r w:rsidR="00DA539A">
        <w:rPr>
          <w:rFonts w:ascii="Times New Roman" w:hAnsi="Times New Roman" w:cs="Times New Roman"/>
          <w:sz w:val="24"/>
          <w:szCs w:val="24"/>
        </w:rPr>
        <w:t xml:space="preserve">established </w:t>
      </w:r>
      <w:r w:rsidR="00D25876" w:rsidRPr="00FB16A0">
        <w:rPr>
          <w:rFonts w:ascii="Times New Roman" w:hAnsi="Times New Roman" w:cs="Times New Roman"/>
          <w:sz w:val="24"/>
          <w:szCs w:val="24"/>
        </w:rPr>
        <w:t>a</w:t>
      </w:r>
      <w:r w:rsidR="00EE0FEF">
        <w:rPr>
          <w:rFonts w:ascii="Times New Roman" w:hAnsi="Times New Roman" w:cs="Times New Roman"/>
          <w:sz w:val="24"/>
          <w:szCs w:val="24"/>
        </w:rPr>
        <w:t xml:space="preserve"> policy and </w:t>
      </w:r>
      <w:r w:rsidR="00DA539A">
        <w:rPr>
          <w:rFonts w:ascii="Times New Roman" w:hAnsi="Times New Roman" w:cs="Times New Roman"/>
          <w:sz w:val="24"/>
          <w:szCs w:val="24"/>
        </w:rPr>
        <w:t>advisory</w:t>
      </w:r>
      <w:r w:rsidR="00D25876" w:rsidRPr="00FB16A0">
        <w:rPr>
          <w:rFonts w:ascii="Times New Roman" w:hAnsi="Times New Roman" w:cs="Times New Roman"/>
          <w:sz w:val="24"/>
          <w:szCs w:val="24"/>
        </w:rPr>
        <w:t xml:space="preserve"> </w:t>
      </w:r>
      <w:r w:rsidR="00DA539A">
        <w:rPr>
          <w:rFonts w:ascii="Times New Roman" w:hAnsi="Times New Roman" w:cs="Times New Roman"/>
          <w:sz w:val="24"/>
          <w:szCs w:val="24"/>
        </w:rPr>
        <w:t>board</w:t>
      </w:r>
      <w:r w:rsidR="00D25876" w:rsidRPr="00FB16A0">
        <w:rPr>
          <w:rFonts w:ascii="Times New Roman" w:hAnsi="Times New Roman" w:cs="Times New Roman"/>
          <w:sz w:val="24"/>
          <w:szCs w:val="24"/>
        </w:rPr>
        <w:t xml:space="preserve"> that meets </w:t>
      </w:r>
      <w:r w:rsidR="009F7F48" w:rsidRPr="00FB16A0">
        <w:rPr>
          <w:rFonts w:ascii="Times New Roman" w:hAnsi="Times New Roman" w:cs="Times New Roman"/>
          <w:sz w:val="24"/>
          <w:szCs w:val="24"/>
        </w:rPr>
        <w:t xml:space="preserve">quarterly </w:t>
      </w:r>
      <w:r w:rsidR="00D25876" w:rsidRPr="00FB16A0">
        <w:rPr>
          <w:rFonts w:ascii="Times New Roman" w:hAnsi="Times New Roman" w:cs="Times New Roman"/>
          <w:sz w:val="24"/>
          <w:szCs w:val="24"/>
        </w:rPr>
        <w:t xml:space="preserve">to discuss new developments in </w:t>
      </w:r>
      <w:r w:rsidR="00DA539A">
        <w:rPr>
          <w:rFonts w:ascii="Times New Roman" w:hAnsi="Times New Roman" w:cs="Times New Roman"/>
          <w:sz w:val="24"/>
          <w:szCs w:val="24"/>
        </w:rPr>
        <w:t xml:space="preserve">state and local tax law, as well as proposed </w:t>
      </w:r>
      <w:r w:rsidR="00D25876" w:rsidRPr="00FB16A0">
        <w:rPr>
          <w:rFonts w:ascii="Times New Roman" w:hAnsi="Times New Roman" w:cs="Times New Roman"/>
          <w:sz w:val="24"/>
          <w:szCs w:val="24"/>
        </w:rPr>
        <w:t>DOF</w:t>
      </w:r>
      <w:r w:rsidR="002F411E">
        <w:rPr>
          <w:rFonts w:ascii="Times New Roman" w:hAnsi="Times New Roman" w:cs="Times New Roman"/>
          <w:sz w:val="24"/>
          <w:szCs w:val="24"/>
        </w:rPr>
        <w:t xml:space="preserve"> initiatives.</w:t>
      </w:r>
    </w:p>
    <w:p w:rsidR="004B4428" w:rsidRDefault="00807179" w:rsidP="001619EF">
      <w:pPr>
        <w:rPr>
          <w:rFonts w:ascii="Times New Roman" w:hAnsi="Times New Roman" w:cs="Times New Roman"/>
          <w:sz w:val="24"/>
          <w:szCs w:val="24"/>
        </w:rPr>
      </w:pPr>
      <w:r>
        <w:rPr>
          <w:rFonts w:ascii="Times New Roman" w:hAnsi="Times New Roman" w:cs="Times New Roman"/>
          <w:sz w:val="24"/>
          <w:szCs w:val="24"/>
        </w:rPr>
        <w:t>The Commissioner has</w:t>
      </w:r>
      <w:r w:rsidR="006F3026">
        <w:rPr>
          <w:rFonts w:ascii="Times New Roman" w:hAnsi="Times New Roman" w:cs="Times New Roman"/>
          <w:sz w:val="24"/>
          <w:szCs w:val="24"/>
        </w:rPr>
        <w:t xml:space="preserve"> </w:t>
      </w:r>
      <w:r w:rsidR="00DA539A">
        <w:rPr>
          <w:rFonts w:ascii="Times New Roman" w:hAnsi="Times New Roman" w:cs="Times New Roman"/>
          <w:sz w:val="24"/>
          <w:szCs w:val="24"/>
        </w:rPr>
        <w:t xml:space="preserve">also established </w:t>
      </w:r>
      <w:r w:rsidR="006F3026">
        <w:rPr>
          <w:rFonts w:ascii="Times New Roman" w:hAnsi="Times New Roman" w:cs="Times New Roman"/>
          <w:sz w:val="24"/>
          <w:szCs w:val="24"/>
        </w:rPr>
        <w:t xml:space="preserve">a SCRIE and DRIE Task Force </w:t>
      </w:r>
      <w:r w:rsidR="00DA539A">
        <w:rPr>
          <w:rFonts w:ascii="Times New Roman" w:hAnsi="Times New Roman" w:cs="Times New Roman"/>
          <w:sz w:val="24"/>
          <w:szCs w:val="24"/>
        </w:rPr>
        <w:t xml:space="preserve">to provide a forum where DOF staff can interact directly with senior, low income and disability advocates to better understand the challenges faced by </w:t>
      </w:r>
      <w:r w:rsidR="00330F19">
        <w:rPr>
          <w:rFonts w:ascii="Times New Roman" w:hAnsi="Times New Roman" w:cs="Times New Roman"/>
          <w:sz w:val="24"/>
          <w:szCs w:val="24"/>
        </w:rPr>
        <w:t>the City’s most</w:t>
      </w:r>
      <w:r w:rsidR="00DA539A">
        <w:rPr>
          <w:rFonts w:ascii="Times New Roman" w:hAnsi="Times New Roman" w:cs="Times New Roman"/>
          <w:sz w:val="24"/>
          <w:szCs w:val="24"/>
        </w:rPr>
        <w:t xml:space="preserve"> vulnerable populations</w:t>
      </w:r>
      <w:r w:rsidR="00457026">
        <w:rPr>
          <w:rFonts w:ascii="Times New Roman" w:hAnsi="Times New Roman" w:cs="Times New Roman"/>
          <w:sz w:val="24"/>
          <w:szCs w:val="24"/>
        </w:rPr>
        <w:t xml:space="preserve"> in acces</w:t>
      </w:r>
      <w:r w:rsidR="002F411E">
        <w:rPr>
          <w:rFonts w:ascii="Times New Roman" w:hAnsi="Times New Roman" w:cs="Times New Roman"/>
          <w:sz w:val="24"/>
          <w:szCs w:val="24"/>
        </w:rPr>
        <w:t xml:space="preserve">sing these important benefits. </w:t>
      </w:r>
      <w:r w:rsidR="00457026">
        <w:rPr>
          <w:rFonts w:ascii="Times New Roman" w:hAnsi="Times New Roman" w:cs="Times New Roman"/>
          <w:sz w:val="24"/>
          <w:szCs w:val="24"/>
        </w:rPr>
        <w:t xml:space="preserve">Through this task force, DOF is able to share draft </w:t>
      </w:r>
      <w:r w:rsidR="006B6678">
        <w:rPr>
          <w:rFonts w:ascii="Times New Roman" w:hAnsi="Times New Roman" w:cs="Times New Roman"/>
          <w:sz w:val="24"/>
          <w:szCs w:val="24"/>
        </w:rPr>
        <w:t xml:space="preserve">forms and procedures </w:t>
      </w:r>
      <w:r w:rsidR="00457026">
        <w:rPr>
          <w:rFonts w:ascii="Times New Roman" w:hAnsi="Times New Roman" w:cs="Times New Roman"/>
          <w:sz w:val="24"/>
          <w:szCs w:val="24"/>
        </w:rPr>
        <w:t xml:space="preserve">and incorporate suggestions and recommendations from the advocates. </w:t>
      </w:r>
    </w:p>
    <w:p w:rsidR="002F411E" w:rsidRPr="002F411E" w:rsidRDefault="002F411E" w:rsidP="002F411E">
      <w:pPr>
        <w:keepNext/>
        <w:shd w:val="clear" w:color="auto" w:fill="FFFFFF"/>
        <w:spacing w:before="100" w:beforeAutospacing="1" w:after="100" w:afterAutospacing="1" w:line="300" w:lineRule="atLeast"/>
        <w:rPr>
          <w:rFonts w:ascii="Times New Roman" w:eastAsia="Times New Roman" w:hAnsi="Times New Roman" w:cs="Times New Roman"/>
          <w:sz w:val="24"/>
          <w:szCs w:val="24"/>
          <w:u w:val="single"/>
        </w:rPr>
      </w:pPr>
      <w:r w:rsidRPr="002F411E">
        <w:rPr>
          <w:rFonts w:ascii="Times New Roman" w:hAnsi="Times New Roman" w:cs="Times New Roman"/>
          <w:b/>
          <w:bCs/>
          <w:iCs/>
          <w:sz w:val="24"/>
          <w:szCs w:val="24"/>
          <w:u w:val="single"/>
        </w:rPr>
        <w:lastRenderedPageBreak/>
        <w:t xml:space="preserve">Recommendation No. </w:t>
      </w:r>
      <w:r>
        <w:rPr>
          <w:rFonts w:ascii="Times New Roman" w:hAnsi="Times New Roman" w:cs="Times New Roman"/>
          <w:b/>
          <w:bCs/>
          <w:iCs/>
          <w:sz w:val="24"/>
          <w:szCs w:val="24"/>
          <w:u w:val="single"/>
        </w:rPr>
        <w:t>12</w:t>
      </w:r>
    </w:p>
    <w:p w:rsidR="00E4626F" w:rsidRDefault="00644D45" w:rsidP="00510594">
      <w:pPr>
        <w:keepNext/>
        <w:shd w:val="clear" w:color="auto" w:fill="FFFFFF"/>
        <w:spacing w:before="100" w:beforeAutospacing="1" w:after="100" w:afterAutospacing="1" w:line="300" w:lineRule="atLeast"/>
        <w:rPr>
          <w:rFonts w:ascii="Times New Roman" w:hAnsi="Times New Roman" w:cs="Times New Roman"/>
          <w:b/>
          <w:i/>
          <w:sz w:val="24"/>
          <w:szCs w:val="24"/>
          <w:highlight w:val="yellow"/>
        </w:rPr>
      </w:pPr>
      <w:r w:rsidRPr="00FB16A0">
        <w:rPr>
          <w:rFonts w:ascii="Times New Roman" w:hAnsi="Times New Roman" w:cs="Times New Roman"/>
          <w:b/>
          <w:i/>
          <w:sz w:val="24"/>
          <w:szCs w:val="24"/>
        </w:rPr>
        <w:t>C</w:t>
      </w:r>
      <w:r w:rsidR="00F443AA" w:rsidRPr="00FB16A0">
        <w:rPr>
          <w:rFonts w:ascii="Times New Roman" w:hAnsi="Times New Roman" w:cs="Times New Roman"/>
          <w:b/>
          <w:i/>
          <w:sz w:val="24"/>
          <w:szCs w:val="24"/>
        </w:rPr>
        <w:t xml:space="preserve">reate programs or calculators that assist Class 1 property owners </w:t>
      </w:r>
      <w:r w:rsidR="006B6678">
        <w:rPr>
          <w:rFonts w:ascii="Times New Roman" w:hAnsi="Times New Roman" w:cs="Times New Roman"/>
          <w:b/>
          <w:i/>
          <w:sz w:val="24"/>
          <w:szCs w:val="24"/>
        </w:rPr>
        <w:t xml:space="preserve">in understanding </w:t>
      </w:r>
      <w:r w:rsidR="00F443AA" w:rsidRPr="00FB16A0">
        <w:rPr>
          <w:rFonts w:ascii="Times New Roman" w:hAnsi="Times New Roman" w:cs="Times New Roman"/>
          <w:b/>
          <w:i/>
          <w:sz w:val="24"/>
          <w:szCs w:val="24"/>
        </w:rPr>
        <w:t xml:space="preserve">the difference </w:t>
      </w:r>
      <w:r w:rsidR="006B6678">
        <w:rPr>
          <w:rFonts w:ascii="Times New Roman" w:hAnsi="Times New Roman" w:cs="Times New Roman"/>
          <w:b/>
          <w:i/>
          <w:sz w:val="24"/>
          <w:szCs w:val="24"/>
        </w:rPr>
        <w:t>in</w:t>
      </w:r>
      <w:r w:rsidR="00F443AA" w:rsidRPr="00FB16A0">
        <w:rPr>
          <w:rFonts w:ascii="Times New Roman" w:hAnsi="Times New Roman" w:cs="Times New Roman"/>
          <w:b/>
          <w:i/>
          <w:sz w:val="24"/>
          <w:szCs w:val="24"/>
        </w:rPr>
        <w:t xml:space="preserve"> Market Value, Assessed Value and Capped Assessed value, and how changes in Market Value do or do not affect Capped Assessed Value.</w:t>
      </w:r>
      <w:r w:rsidR="00111890" w:rsidRPr="00FB16A0">
        <w:rPr>
          <w:rFonts w:ascii="Times New Roman" w:hAnsi="Times New Roman" w:cs="Times New Roman"/>
          <w:b/>
          <w:i/>
          <w:sz w:val="24"/>
          <w:szCs w:val="24"/>
          <w:highlight w:val="yellow"/>
        </w:rPr>
        <w:t xml:space="preserve"> </w:t>
      </w:r>
    </w:p>
    <w:p w:rsidR="00D92E56" w:rsidRPr="00D92E56" w:rsidRDefault="00D92E56" w:rsidP="00D92E56">
      <w:pPr>
        <w:keepNext/>
        <w:shd w:val="clear" w:color="auto" w:fill="FFFFFF"/>
        <w:spacing w:before="100" w:beforeAutospacing="1" w:after="100" w:afterAutospacing="1" w:line="300" w:lineRule="atLeast"/>
        <w:rPr>
          <w:rFonts w:ascii="Times New Roman" w:hAnsi="Times New Roman" w:cs="Times New Roman"/>
          <w:b/>
          <w:sz w:val="24"/>
          <w:szCs w:val="24"/>
        </w:rPr>
      </w:pPr>
      <w:r w:rsidRPr="00D92E56">
        <w:rPr>
          <w:rFonts w:ascii="Times New Roman" w:hAnsi="Times New Roman" w:cs="Times New Roman"/>
          <w:b/>
          <w:sz w:val="24"/>
          <w:szCs w:val="24"/>
        </w:rPr>
        <w:t xml:space="preserve">DOF </w:t>
      </w:r>
      <w:r w:rsidR="00D52070">
        <w:rPr>
          <w:rFonts w:ascii="Times New Roman" w:hAnsi="Times New Roman" w:cs="Times New Roman"/>
          <w:b/>
          <w:sz w:val="24"/>
          <w:szCs w:val="24"/>
        </w:rPr>
        <w:t>Action</w:t>
      </w:r>
      <w:r w:rsidRPr="00D92E56">
        <w:rPr>
          <w:rFonts w:ascii="Times New Roman" w:hAnsi="Times New Roman" w:cs="Times New Roman"/>
          <w:b/>
          <w:sz w:val="24"/>
          <w:szCs w:val="24"/>
        </w:rPr>
        <w:t>:</w:t>
      </w:r>
    </w:p>
    <w:p w:rsidR="00111890" w:rsidRPr="00FB16A0" w:rsidRDefault="006B6678" w:rsidP="00EE033F">
      <w:pPr>
        <w:shd w:val="clear" w:color="auto" w:fill="FFFFFF"/>
        <w:tabs>
          <w:tab w:val="left" w:pos="810"/>
          <w:tab w:val="left" w:pos="990"/>
        </w:tabs>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DOF</w:t>
      </w:r>
      <w:r w:rsidR="00111890" w:rsidRPr="00FB16A0">
        <w:rPr>
          <w:rFonts w:ascii="Times New Roman" w:eastAsia="Times New Roman" w:hAnsi="Times New Roman" w:cs="Times New Roman"/>
          <w:sz w:val="24"/>
          <w:szCs w:val="24"/>
        </w:rPr>
        <w:t xml:space="preserve"> is taking action to as</w:t>
      </w:r>
      <w:r w:rsidR="00E93201">
        <w:rPr>
          <w:rFonts w:ascii="Times New Roman" w:eastAsia="Times New Roman" w:hAnsi="Times New Roman" w:cs="Times New Roman"/>
          <w:sz w:val="24"/>
          <w:szCs w:val="24"/>
        </w:rPr>
        <w:t xml:space="preserve">sist Class 1 property owners </w:t>
      </w:r>
      <w:r w:rsidR="00111890" w:rsidRPr="00FB16A0">
        <w:rPr>
          <w:rFonts w:ascii="Times New Roman" w:eastAsia="Times New Roman" w:hAnsi="Times New Roman" w:cs="Times New Roman"/>
          <w:sz w:val="24"/>
          <w:szCs w:val="24"/>
        </w:rPr>
        <w:t xml:space="preserve">understand the NOPV and </w:t>
      </w:r>
      <w:r w:rsidR="00E93201">
        <w:rPr>
          <w:rFonts w:ascii="Times New Roman" w:eastAsia="Times New Roman" w:hAnsi="Times New Roman" w:cs="Times New Roman"/>
          <w:sz w:val="24"/>
          <w:szCs w:val="24"/>
        </w:rPr>
        <w:t xml:space="preserve">clarify </w:t>
      </w:r>
      <w:r w:rsidR="00111890" w:rsidRPr="00FB16A0">
        <w:rPr>
          <w:rFonts w:ascii="Times New Roman" w:eastAsia="Times New Roman" w:hAnsi="Times New Roman" w:cs="Times New Roman"/>
          <w:sz w:val="24"/>
          <w:szCs w:val="24"/>
        </w:rPr>
        <w:t>how changes in Market Value affect Capped Assessed Value</w:t>
      </w:r>
      <w:r w:rsidR="00810855">
        <w:rPr>
          <w:rFonts w:ascii="Times New Roman" w:eastAsia="Times New Roman" w:hAnsi="Times New Roman" w:cs="Times New Roman"/>
          <w:sz w:val="24"/>
          <w:szCs w:val="24"/>
        </w:rPr>
        <w:t xml:space="preserve">. DOF has implemented a worksheet created by OTA as an online tool to help Class 1 taxpayers calculate their </w:t>
      </w:r>
      <w:r w:rsidR="00E93201">
        <w:rPr>
          <w:rFonts w:ascii="Times New Roman" w:eastAsia="Times New Roman" w:hAnsi="Times New Roman" w:cs="Times New Roman"/>
          <w:sz w:val="24"/>
          <w:szCs w:val="24"/>
        </w:rPr>
        <w:t>property tax.</w:t>
      </w:r>
      <w:r w:rsidR="00810855">
        <w:rPr>
          <w:rFonts w:ascii="Times New Roman" w:eastAsia="Times New Roman" w:hAnsi="Times New Roman" w:cs="Times New Roman"/>
          <w:sz w:val="24"/>
          <w:szCs w:val="24"/>
        </w:rPr>
        <w:t xml:space="preserve"> </w:t>
      </w:r>
      <w:r w:rsidR="00111890" w:rsidRPr="00FB16A0">
        <w:rPr>
          <w:rFonts w:ascii="Times New Roman" w:eastAsia="Times New Roman" w:hAnsi="Times New Roman" w:cs="Times New Roman"/>
          <w:sz w:val="24"/>
          <w:szCs w:val="24"/>
        </w:rPr>
        <w:t>DOF has posted inter</w:t>
      </w:r>
      <w:r w:rsidR="009C06CF">
        <w:rPr>
          <w:rFonts w:ascii="Times New Roman" w:eastAsia="Times New Roman" w:hAnsi="Times New Roman" w:cs="Times New Roman"/>
          <w:sz w:val="24"/>
          <w:szCs w:val="24"/>
        </w:rPr>
        <w:t>active property maps on its web</w:t>
      </w:r>
      <w:r w:rsidR="00810855">
        <w:rPr>
          <w:rFonts w:ascii="Times New Roman" w:eastAsia="Times New Roman" w:hAnsi="Times New Roman" w:cs="Times New Roman"/>
          <w:sz w:val="24"/>
          <w:szCs w:val="24"/>
        </w:rPr>
        <w:t xml:space="preserve">site to allow Class 1, </w:t>
      </w:r>
      <w:r w:rsidR="00111890" w:rsidRPr="00FB16A0">
        <w:rPr>
          <w:rFonts w:ascii="Times New Roman" w:eastAsia="Times New Roman" w:hAnsi="Times New Roman" w:cs="Times New Roman"/>
          <w:sz w:val="24"/>
          <w:szCs w:val="24"/>
        </w:rPr>
        <w:t>Class 2</w:t>
      </w:r>
      <w:r w:rsidR="00810855">
        <w:rPr>
          <w:rFonts w:ascii="Times New Roman" w:eastAsia="Times New Roman" w:hAnsi="Times New Roman" w:cs="Times New Roman"/>
          <w:sz w:val="24"/>
          <w:szCs w:val="24"/>
        </w:rPr>
        <w:t>, and Class 4</w:t>
      </w:r>
      <w:r w:rsidR="00F22F25" w:rsidRPr="00FB16A0">
        <w:rPr>
          <w:rFonts w:ascii="Times New Roman" w:eastAsia="Times New Roman" w:hAnsi="Times New Roman" w:cs="Times New Roman"/>
          <w:sz w:val="24"/>
          <w:szCs w:val="24"/>
        </w:rPr>
        <w:t xml:space="preserve"> </w:t>
      </w:r>
      <w:r w:rsidR="00111890" w:rsidRPr="00FB16A0">
        <w:rPr>
          <w:rFonts w:ascii="Times New Roman" w:eastAsia="Times New Roman" w:hAnsi="Times New Roman" w:cs="Times New Roman"/>
          <w:sz w:val="24"/>
          <w:szCs w:val="24"/>
        </w:rPr>
        <w:t xml:space="preserve">property owners to see the values and descriptions of properties by borough. </w:t>
      </w:r>
      <w:r w:rsidR="00810855">
        <w:rPr>
          <w:rFonts w:ascii="Times New Roman" w:eastAsia="Times New Roman" w:hAnsi="Times New Roman" w:cs="Times New Roman"/>
          <w:sz w:val="24"/>
          <w:szCs w:val="24"/>
        </w:rPr>
        <w:t xml:space="preserve">DOF </w:t>
      </w:r>
      <w:r w:rsidR="00111890" w:rsidRPr="00FB16A0">
        <w:rPr>
          <w:rFonts w:ascii="Times New Roman" w:eastAsia="Times New Roman" w:hAnsi="Times New Roman" w:cs="Times New Roman"/>
          <w:sz w:val="24"/>
          <w:szCs w:val="24"/>
        </w:rPr>
        <w:t xml:space="preserve">is also working on </w:t>
      </w:r>
      <w:r w:rsidR="00E9378D" w:rsidRPr="00FB16A0">
        <w:rPr>
          <w:rFonts w:ascii="Times New Roman" w:eastAsia="Times New Roman" w:hAnsi="Times New Roman" w:cs="Times New Roman"/>
          <w:sz w:val="24"/>
          <w:szCs w:val="24"/>
        </w:rPr>
        <w:t xml:space="preserve">a </w:t>
      </w:r>
      <w:r w:rsidR="00111890" w:rsidRPr="00FB16A0">
        <w:rPr>
          <w:rFonts w:ascii="Times New Roman" w:eastAsia="Times New Roman" w:hAnsi="Times New Roman" w:cs="Times New Roman"/>
          <w:sz w:val="24"/>
          <w:szCs w:val="24"/>
        </w:rPr>
        <w:t xml:space="preserve">calculator to assist Class 2 property owners </w:t>
      </w:r>
      <w:r w:rsidR="00E93201">
        <w:rPr>
          <w:rFonts w:ascii="Times New Roman" w:eastAsia="Times New Roman" w:hAnsi="Times New Roman" w:cs="Times New Roman"/>
          <w:sz w:val="24"/>
          <w:szCs w:val="24"/>
        </w:rPr>
        <w:t xml:space="preserve">understand how </w:t>
      </w:r>
      <w:r w:rsidR="00111890" w:rsidRPr="00FB16A0">
        <w:rPr>
          <w:rFonts w:ascii="Times New Roman" w:eastAsia="Times New Roman" w:hAnsi="Times New Roman" w:cs="Times New Roman"/>
          <w:sz w:val="24"/>
          <w:szCs w:val="24"/>
        </w:rPr>
        <w:t>transitional assessed values are calculated.</w:t>
      </w:r>
    </w:p>
    <w:p w:rsidR="002F411E" w:rsidRPr="002F411E" w:rsidRDefault="002F411E" w:rsidP="002F411E">
      <w:pPr>
        <w:keepNext/>
        <w:shd w:val="clear" w:color="auto" w:fill="FFFFFF"/>
        <w:spacing w:before="100" w:beforeAutospacing="1" w:after="100" w:afterAutospacing="1" w:line="300" w:lineRule="atLeast"/>
        <w:rPr>
          <w:rFonts w:ascii="Times New Roman" w:eastAsia="Times New Roman" w:hAnsi="Times New Roman" w:cs="Times New Roman"/>
          <w:sz w:val="24"/>
          <w:szCs w:val="24"/>
          <w:u w:val="single"/>
        </w:rPr>
      </w:pPr>
      <w:r w:rsidRPr="002F411E">
        <w:rPr>
          <w:rFonts w:ascii="Times New Roman" w:hAnsi="Times New Roman" w:cs="Times New Roman"/>
          <w:b/>
          <w:bCs/>
          <w:iCs/>
          <w:sz w:val="24"/>
          <w:szCs w:val="24"/>
          <w:u w:val="single"/>
        </w:rPr>
        <w:t xml:space="preserve">Recommendation No. </w:t>
      </w:r>
      <w:r>
        <w:rPr>
          <w:rFonts w:ascii="Times New Roman" w:hAnsi="Times New Roman" w:cs="Times New Roman"/>
          <w:b/>
          <w:bCs/>
          <w:iCs/>
          <w:sz w:val="24"/>
          <w:szCs w:val="24"/>
          <w:u w:val="single"/>
        </w:rPr>
        <w:t>13</w:t>
      </w:r>
    </w:p>
    <w:p w:rsidR="00F443AA" w:rsidRPr="00FB16A0" w:rsidRDefault="00644D45" w:rsidP="00510594">
      <w:pPr>
        <w:keepNext/>
        <w:shd w:val="clear" w:color="auto" w:fill="FFFFFF"/>
        <w:spacing w:before="100" w:beforeAutospacing="1" w:after="100" w:afterAutospacing="1" w:line="300" w:lineRule="atLeast"/>
        <w:rPr>
          <w:rFonts w:ascii="Times New Roman" w:eastAsia="Times New Roman" w:hAnsi="Times New Roman" w:cs="Times New Roman"/>
          <w:b/>
          <w:i/>
          <w:sz w:val="24"/>
          <w:szCs w:val="24"/>
        </w:rPr>
      </w:pPr>
      <w:r w:rsidRPr="00FB16A0">
        <w:rPr>
          <w:rFonts w:ascii="Times New Roman" w:eastAsia="Times New Roman" w:hAnsi="Times New Roman" w:cs="Times New Roman"/>
          <w:b/>
          <w:i/>
          <w:sz w:val="24"/>
          <w:szCs w:val="24"/>
        </w:rPr>
        <w:t>I</w:t>
      </w:r>
      <w:r w:rsidR="00F443AA" w:rsidRPr="00FB16A0">
        <w:rPr>
          <w:rFonts w:ascii="Times New Roman" w:eastAsia="Times New Roman" w:hAnsi="Times New Roman" w:cs="Times New Roman"/>
          <w:b/>
          <w:i/>
          <w:sz w:val="24"/>
          <w:szCs w:val="24"/>
        </w:rPr>
        <w:t xml:space="preserve">nclude contact information for the Office of the Taxpayer Advocate </w:t>
      </w:r>
      <w:r w:rsidR="00810855">
        <w:rPr>
          <w:rFonts w:ascii="Times New Roman" w:eastAsia="Times New Roman" w:hAnsi="Times New Roman" w:cs="Times New Roman"/>
          <w:b/>
          <w:i/>
          <w:sz w:val="24"/>
          <w:szCs w:val="24"/>
        </w:rPr>
        <w:t>on</w:t>
      </w:r>
      <w:r w:rsidR="00F443AA" w:rsidRPr="00FB16A0">
        <w:rPr>
          <w:rFonts w:ascii="Times New Roman" w:eastAsia="Times New Roman" w:hAnsi="Times New Roman" w:cs="Times New Roman"/>
          <w:b/>
          <w:i/>
          <w:sz w:val="24"/>
          <w:szCs w:val="24"/>
        </w:rPr>
        <w:t xml:space="preserve"> important notices, especially those that involve final action by DOF.</w:t>
      </w:r>
    </w:p>
    <w:p w:rsidR="00D92E56" w:rsidRPr="00D92E56" w:rsidRDefault="00D92E56" w:rsidP="00D92E56">
      <w:pPr>
        <w:keepNext/>
        <w:shd w:val="clear" w:color="auto" w:fill="FFFFFF"/>
        <w:spacing w:before="100" w:beforeAutospacing="1" w:after="100" w:afterAutospacing="1" w:line="300" w:lineRule="atLeast"/>
        <w:rPr>
          <w:rFonts w:ascii="Times New Roman" w:hAnsi="Times New Roman" w:cs="Times New Roman"/>
          <w:b/>
          <w:sz w:val="24"/>
          <w:szCs w:val="24"/>
        </w:rPr>
      </w:pPr>
      <w:r w:rsidRPr="00D92E56">
        <w:rPr>
          <w:rFonts w:ascii="Times New Roman" w:hAnsi="Times New Roman" w:cs="Times New Roman"/>
          <w:b/>
          <w:sz w:val="24"/>
          <w:szCs w:val="24"/>
        </w:rPr>
        <w:t xml:space="preserve">DOF </w:t>
      </w:r>
      <w:r w:rsidR="00D52070">
        <w:rPr>
          <w:rFonts w:ascii="Times New Roman" w:hAnsi="Times New Roman" w:cs="Times New Roman"/>
          <w:b/>
          <w:sz w:val="24"/>
          <w:szCs w:val="24"/>
        </w:rPr>
        <w:t>Action</w:t>
      </w:r>
      <w:r w:rsidRPr="00D92E56">
        <w:rPr>
          <w:rFonts w:ascii="Times New Roman" w:hAnsi="Times New Roman" w:cs="Times New Roman"/>
          <w:b/>
          <w:sz w:val="24"/>
          <w:szCs w:val="24"/>
        </w:rPr>
        <w:t>:</w:t>
      </w:r>
    </w:p>
    <w:p w:rsidR="001C68EC" w:rsidRPr="00AB7245" w:rsidRDefault="00EE0FEF" w:rsidP="001C68EC">
      <w:pPr>
        <w:rPr>
          <w:rFonts w:ascii="Times New Roman" w:hAnsi="Times New Roman" w:cs="Times New Roman"/>
          <w:b/>
          <w:sz w:val="24"/>
          <w:szCs w:val="24"/>
        </w:rPr>
        <w:sectPr w:rsidR="001C68EC" w:rsidRPr="00AB7245" w:rsidSect="00E62E20">
          <w:type w:val="continuous"/>
          <w:pgSz w:w="12240" w:h="15840"/>
          <w:pgMar w:top="1440" w:right="1440" w:bottom="1440" w:left="1440" w:header="720" w:footer="720" w:gutter="0"/>
          <w:cols w:space="720"/>
          <w:docGrid w:linePitch="360"/>
        </w:sectPr>
      </w:pPr>
      <w:r>
        <w:rPr>
          <w:rFonts w:ascii="Times New Roman" w:hAnsi="Times New Roman"/>
          <w:sz w:val="24"/>
          <w:szCs w:val="24"/>
        </w:rPr>
        <w:t xml:space="preserve">DOF agrees that contact information for the </w:t>
      </w:r>
      <w:r w:rsidR="00AB7245">
        <w:rPr>
          <w:rFonts w:ascii="Times New Roman" w:hAnsi="Times New Roman"/>
          <w:sz w:val="24"/>
          <w:szCs w:val="24"/>
        </w:rPr>
        <w:t xml:space="preserve">OTA </w:t>
      </w:r>
      <w:r>
        <w:rPr>
          <w:rFonts w:ascii="Times New Roman" w:hAnsi="Times New Roman"/>
          <w:sz w:val="24"/>
          <w:szCs w:val="24"/>
        </w:rPr>
        <w:t>should be provided on many of DOF’s important notices.</w:t>
      </w:r>
      <w:r w:rsidR="00971EAC">
        <w:rPr>
          <w:rFonts w:ascii="Times New Roman" w:hAnsi="Times New Roman"/>
          <w:sz w:val="24"/>
          <w:szCs w:val="24"/>
        </w:rPr>
        <w:t xml:space="preserve"> </w:t>
      </w:r>
      <w:r>
        <w:rPr>
          <w:rFonts w:ascii="Times New Roman" w:hAnsi="Times New Roman"/>
          <w:sz w:val="24"/>
          <w:szCs w:val="24"/>
        </w:rPr>
        <w:t xml:space="preserve">DOF encourages OTA to </w:t>
      </w:r>
      <w:r w:rsidR="00AB7245">
        <w:rPr>
          <w:rFonts w:ascii="Times New Roman" w:hAnsi="Times New Roman"/>
          <w:sz w:val="24"/>
          <w:szCs w:val="24"/>
        </w:rPr>
        <w:t xml:space="preserve">engage in public outreach through its participation in DOF’s city-wide </w:t>
      </w:r>
      <w:r w:rsidR="00927423">
        <w:rPr>
          <w:rFonts w:ascii="Times New Roman" w:hAnsi="Times New Roman"/>
          <w:sz w:val="24"/>
          <w:szCs w:val="24"/>
        </w:rPr>
        <w:t>NOPV</w:t>
      </w:r>
      <w:r w:rsidR="00AB7245">
        <w:rPr>
          <w:rFonts w:ascii="Times New Roman" w:hAnsi="Times New Roman"/>
          <w:sz w:val="24"/>
          <w:szCs w:val="24"/>
        </w:rPr>
        <w:t xml:space="preserve">, Rent Freeze, and Lien Sale public events. This year, DOF included a copy of the TBOR, which includes OTA’s information, with the mailing of the annual NOPVs. DOF’s Tax Audit and Enforcement Division provides copies of the TBOR to taxpayers and their representatives during the audit process. </w:t>
      </w:r>
      <w:r w:rsidR="00E67D84" w:rsidRPr="00FB16A0">
        <w:rPr>
          <w:rFonts w:ascii="Times New Roman" w:hAnsi="Times New Roman" w:cs="Times New Roman"/>
          <w:sz w:val="24"/>
          <w:szCs w:val="24"/>
        </w:rPr>
        <w:t xml:space="preserve">OTA hopes to include its </w:t>
      </w:r>
      <w:r w:rsidR="00E67D84">
        <w:rPr>
          <w:rFonts w:ascii="Times New Roman" w:hAnsi="Times New Roman" w:cs="Times New Roman"/>
          <w:sz w:val="24"/>
          <w:szCs w:val="24"/>
        </w:rPr>
        <w:t xml:space="preserve">information in </w:t>
      </w:r>
      <w:r w:rsidR="00330F19">
        <w:rPr>
          <w:rFonts w:ascii="Times New Roman" w:hAnsi="Times New Roman" w:cs="Times New Roman"/>
          <w:sz w:val="24"/>
          <w:szCs w:val="24"/>
        </w:rPr>
        <w:t>future</w:t>
      </w:r>
      <w:r w:rsidR="00E67D84">
        <w:rPr>
          <w:rFonts w:ascii="Times New Roman" w:hAnsi="Times New Roman" w:cs="Times New Roman"/>
          <w:sz w:val="24"/>
          <w:szCs w:val="24"/>
        </w:rPr>
        <w:t xml:space="preserve"> mailings</w:t>
      </w:r>
      <w:r w:rsidR="00E67D84" w:rsidRPr="00FB16A0">
        <w:rPr>
          <w:rFonts w:ascii="Times New Roman" w:hAnsi="Times New Roman" w:cs="Times New Roman"/>
          <w:sz w:val="24"/>
          <w:szCs w:val="24"/>
        </w:rPr>
        <w:t>.</w:t>
      </w:r>
    </w:p>
    <w:p w:rsidR="001C68EC" w:rsidRDefault="001C68EC" w:rsidP="001C68EC">
      <w:pPr>
        <w:rPr>
          <w:rFonts w:ascii="Times New Roman" w:hAnsi="Times New Roman" w:cs="Times New Roman"/>
          <w:b/>
          <w:sz w:val="24"/>
          <w:szCs w:val="24"/>
        </w:rPr>
      </w:pPr>
    </w:p>
    <w:p w:rsidR="006E39BF" w:rsidRDefault="006E39BF" w:rsidP="001C68EC">
      <w:pPr>
        <w:rPr>
          <w:rFonts w:ascii="Times New Roman" w:hAnsi="Times New Roman" w:cs="Times New Roman"/>
          <w:b/>
          <w:sz w:val="24"/>
          <w:szCs w:val="24"/>
        </w:rPr>
      </w:pPr>
    </w:p>
    <w:p w:rsidR="00682619" w:rsidRDefault="00C27BD6" w:rsidP="001C68EC">
      <w:pPr>
        <w:keepNext/>
        <w:spacing w:after="0" w:line="240" w:lineRule="auto"/>
        <w:rPr>
          <w:rFonts w:ascii="Times New Roman" w:hAnsi="Times New Roman" w:cs="Times New Roman"/>
          <w:sz w:val="28"/>
          <w:szCs w:val="28"/>
        </w:rPr>
      </w:pPr>
      <w:r w:rsidRPr="00FB16A0">
        <w:rPr>
          <w:rFonts w:ascii="Times New Roman" w:hAnsi="Times New Roman" w:cs="Times New Roman"/>
          <w:b/>
          <w:sz w:val="28"/>
          <w:szCs w:val="28"/>
        </w:rPr>
        <w:lastRenderedPageBreak/>
        <w:t>Part II</w:t>
      </w:r>
      <w:r w:rsidR="00810855">
        <w:rPr>
          <w:rFonts w:ascii="Times New Roman" w:hAnsi="Times New Roman" w:cs="Times New Roman"/>
          <w:b/>
          <w:sz w:val="28"/>
          <w:szCs w:val="28"/>
        </w:rPr>
        <w:t>I</w:t>
      </w:r>
      <w:r w:rsidRPr="00FB16A0">
        <w:rPr>
          <w:rFonts w:ascii="Times New Roman" w:hAnsi="Times New Roman" w:cs="Times New Roman"/>
          <w:b/>
          <w:sz w:val="28"/>
          <w:szCs w:val="28"/>
        </w:rPr>
        <w:t>:</w:t>
      </w:r>
      <w:r w:rsidR="00810855">
        <w:rPr>
          <w:rFonts w:ascii="Times New Roman" w:hAnsi="Times New Roman" w:cs="Times New Roman"/>
          <w:sz w:val="28"/>
          <w:szCs w:val="28"/>
        </w:rPr>
        <w:t xml:space="preserve"> </w:t>
      </w:r>
    </w:p>
    <w:p w:rsidR="00682619" w:rsidRPr="002F411E" w:rsidRDefault="00682619" w:rsidP="001C68EC">
      <w:pPr>
        <w:keepNext/>
        <w:spacing w:after="0" w:line="240" w:lineRule="auto"/>
        <w:rPr>
          <w:rFonts w:ascii="Times New Roman" w:hAnsi="Times New Roman" w:cs="Times New Roman"/>
          <w:sz w:val="28"/>
          <w:szCs w:val="28"/>
        </w:rPr>
      </w:pPr>
    </w:p>
    <w:p w:rsidR="00810855" w:rsidRPr="002F411E" w:rsidRDefault="00682619" w:rsidP="001C68EC">
      <w:pPr>
        <w:keepNext/>
        <w:spacing w:after="0" w:line="240" w:lineRule="auto"/>
        <w:rPr>
          <w:rFonts w:ascii="Times New Roman" w:hAnsi="Times New Roman" w:cs="Times New Roman"/>
          <w:b/>
          <w:sz w:val="28"/>
          <w:szCs w:val="28"/>
          <w:u w:val="single"/>
        </w:rPr>
      </w:pPr>
      <w:r w:rsidRPr="002F411E">
        <w:rPr>
          <w:rFonts w:ascii="Times New Roman" w:eastAsiaTheme="minorEastAsia" w:hAnsi="Times New Roman" w:cs="Times New Roman"/>
          <w:b/>
          <w:kern w:val="24"/>
          <w:sz w:val="28"/>
          <w:szCs w:val="28"/>
          <w:u w:val="single"/>
        </w:rPr>
        <w:t>OTA Statistics for the Reporting Period April 1, 2016 to March 31, 2017</w:t>
      </w:r>
    </w:p>
    <w:p w:rsidR="00155B70" w:rsidRDefault="00155B70" w:rsidP="00644844">
      <w:pPr>
        <w:keepNext/>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DOF has made </w:t>
      </w:r>
      <w:r w:rsidR="00E93201">
        <w:rPr>
          <w:rFonts w:ascii="Times New Roman" w:eastAsia="Times New Roman" w:hAnsi="Times New Roman" w:cs="Times New Roman"/>
          <w:sz w:val="24"/>
          <w:szCs w:val="24"/>
        </w:rPr>
        <w:t xml:space="preserve">substantial </w:t>
      </w:r>
      <w:r>
        <w:rPr>
          <w:rFonts w:ascii="Times New Roman" w:eastAsia="Times New Roman" w:hAnsi="Times New Roman" w:cs="Times New Roman"/>
          <w:sz w:val="24"/>
          <w:szCs w:val="24"/>
        </w:rPr>
        <w:t>progress in implementing corrective measures</w:t>
      </w:r>
      <w:r w:rsidR="00E93201">
        <w:rPr>
          <w:rFonts w:ascii="Times New Roman" w:eastAsia="Times New Roman" w:hAnsi="Times New Roman" w:cs="Times New Roman"/>
          <w:sz w:val="24"/>
          <w:szCs w:val="24"/>
        </w:rPr>
        <w:t xml:space="preserve"> but there is still room for improvement. </w:t>
      </w:r>
      <w:r>
        <w:rPr>
          <w:rFonts w:ascii="Times New Roman" w:eastAsia="Times New Roman" w:hAnsi="Times New Roman" w:cs="Times New Roman"/>
          <w:sz w:val="24"/>
          <w:szCs w:val="24"/>
        </w:rPr>
        <w:t xml:space="preserve">This section </w:t>
      </w:r>
      <w:r w:rsidR="003420B2">
        <w:rPr>
          <w:rFonts w:ascii="Times New Roman" w:eastAsia="Times New Roman" w:hAnsi="Times New Roman" w:cs="Times New Roman"/>
          <w:sz w:val="24"/>
          <w:szCs w:val="24"/>
        </w:rPr>
        <w:t>quantifies, through a series of charts and graphs, recurring issues that taxpayers brought to OTA’s attention.</w:t>
      </w:r>
    </w:p>
    <w:p w:rsidR="00C44E1A" w:rsidRPr="003420B2" w:rsidRDefault="00BC514C" w:rsidP="00C44E1A">
      <w:pPr>
        <w:pStyle w:val="ListParagraph"/>
        <w:keepNext/>
        <w:numPr>
          <w:ilvl w:val="0"/>
          <w:numId w:val="1"/>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b/>
          <w:i/>
          <w:sz w:val="24"/>
          <w:szCs w:val="24"/>
        </w:rPr>
        <w:t>Total Inventory of</w:t>
      </w:r>
      <w:r w:rsidR="00C44E1A" w:rsidRPr="00FB16A0">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Inquiries and Cases</w:t>
      </w:r>
    </w:p>
    <w:p w:rsidR="003420B2" w:rsidRPr="003420B2" w:rsidRDefault="003420B2" w:rsidP="003420B2">
      <w:pPr>
        <w:keepNext/>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644844">
        <w:rPr>
          <w:rFonts w:ascii="Times New Roman" w:eastAsia="Times New Roman" w:hAnsi="Times New Roman" w:cs="Times New Roman"/>
          <w:sz w:val="24"/>
          <w:szCs w:val="24"/>
        </w:rPr>
        <w:t>During the period covering this report, OTA received and worked 530 inquiries and 305 cases, for a total of 835.</w:t>
      </w:r>
    </w:p>
    <w:p w:rsidR="00C44E1A" w:rsidRPr="00FB16A0" w:rsidRDefault="00C44E1A" w:rsidP="00C44E1A">
      <w:pPr>
        <w:keepNext/>
        <w:shd w:val="clear" w:color="auto" w:fill="FFFFFF"/>
        <w:spacing w:before="100" w:beforeAutospacing="1" w:after="100" w:afterAutospacing="1" w:line="300" w:lineRule="atLeast"/>
        <w:jc w:val="center"/>
        <w:rPr>
          <w:rFonts w:ascii="Times New Roman" w:eastAsia="Times New Roman" w:hAnsi="Times New Roman" w:cs="Times New Roman"/>
          <w:sz w:val="24"/>
          <w:szCs w:val="24"/>
        </w:rPr>
      </w:pPr>
      <w:r w:rsidRPr="00FB16A0">
        <w:rPr>
          <w:rFonts w:ascii="Times New Roman" w:hAnsi="Times New Roman" w:cs="Times New Roman"/>
          <w:noProof/>
          <w:sz w:val="24"/>
          <w:szCs w:val="24"/>
        </w:rPr>
        <w:drawing>
          <wp:inline distT="0" distB="0" distL="0" distR="0" wp14:anchorId="7AF48C56" wp14:editId="12B8AC44">
            <wp:extent cx="588645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44E1A" w:rsidRPr="00C44E1A" w:rsidRDefault="00BC514C" w:rsidP="00C44E1A">
      <w:pPr>
        <w:pStyle w:val="ListParagraph"/>
        <w:keepNext/>
        <w:numPr>
          <w:ilvl w:val="0"/>
          <w:numId w:val="1"/>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b/>
          <w:i/>
          <w:sz w:val="24"/>
          <w:szCs w:val="24"/>
        </w:rPr>
        <w:t>Total Inventory by Subject Matter</w:t>
      </w:r>
    </w:p>
    <w:p w:rsidR="00644844" w:rsidRPr="00644844" w:rsidRDefault="00644844" w:rsidP="00644844">
      <w:pPr>
        <w:keepNext/>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644844">
        <w:rPr>
          <w:rFonts w:ascii="Times New Roman" w:eastAsia="Times New Roman" w:hAnsi="Times New Roman" w:cs="Times New Roman"/>
          <w:sz w:val="24"/>
          <w:szCs w:val="24"/>
        </w:rPr>
        <w:t>More than eighty percent</w:t>
      </w:r>
      <w:r w:rsidR="00F5794C">
        <w:rPr>
          <w:rFonts w:ascii="Times New Roman" w:eastAsia="Times New Roman" w:hAnsi="Times New Roman" w:cs="Times New Roman"/>
          <w:sz w:val="24"/>
          <w:szCs w:val="24"/>
        </w:rPr>
        <w:t xml:space="preserve"> of matters handled by OTA dealt</w:t>
      </w:r>
      <w:r w:rsidRPr="00644844">
        <w:rPr>
          <w:rFonts w:ascii="Times New Roman" w:eastAsia="Times New Roman" w:hAnsi="Times New Roman" w:cs="Times New Roman"/>
          <w:sz w:val="24"/>
          <w:szCs w:val="24"/>
        </w:rPr>
        <w:t xml:space="preserve"> wit</w:t>
      </w:r>
      <w:r w:rsidR="00DB4F87">
        <w:rPr>
          <w:rFonts w:ascii="Times New Roman" w:eastAsia="Times New Roman" w:hAnsi="Times New Roman" w:cs="Times New Roman"/>
          <w:sz w:val="24"/>
          <w:szCs w:val="24"/>
        </w:rPr>
        <w:t>h property tax-</w:t>
      </w:r>
      <w:r w:rsidR="00BC514C">
        <w:rPr>
          <w:rFonts w:ascii="Times New Roman" w:eastAsia="Times New Roman" w:hAnsi="Times New Roman" w:cs="Times New Roman"/>
          <w:sz w:val="24"/>
          <w:szCs w:val="24"/>
        </w:rPr>
        <w:t>related matters.</w:t>
      </w:r>
      <w:r w:rsidRPr="00644844">
        <w:rPr>
          <w:rFonts w:ascii="Times New Roman" w:eastAsia="Times New Roman" w:hAnsi="Times New Roman" w:cs="Times New Roman"/>
          <w:sz w:val="24"/>
          <w:szCs w:val="24"/>
        </w:rPr>
        <w:t xml:space="preserve"> However, OTA is beginning to see an increase in business</w:t>
      </w:r>
      <w:r w:rsidR="00330F19">
        <w:rPr>
          <w:rFonts w:ascii="Times New Roman" w:eastAsia="Times New Roman" w:hAnsi="Times New Roman" w:cs="Times New Roman"/>
          <w:sz w:val="24"/>
          <w:szCs w:val="24"/>
        </w:rPr>
        <w:t xml:space="preserve"> tax</w:t>
      </w:r>
      <w:r w:rsidRPr="00644844">
        <w:rPr>
          <w:rFonts w:ascii="Times New Roman" w:eastAsia="Times New Roman" w:hAnsi="Times New Roman" w:cs="Times New Roman"/>
          <w:sz w:val="24"/>
          <w:szCs w:val="24"/>
        </w:rPr>
        <w:t>-related matters. Whereas OTA’s initial report showed that 10% of its inventory were business-related, th</w:t>
      </w:r>
      <w:r w:rsidR="00F5794C">
        <w:rPr>
          <w:rFonts w:ascii="Times New Roman" w:eastAsia="Times New Roman" w:hAnsi="Times New Roman" w:cs="Times New Roman"/>
          <w:sz w:val="24"/>
          <w:szCs w:val="24"/>
        </w:rPr>
        <w:t xml:space="preserve">at number has increased to 16% </w:t>
      </w:r>
      <w:r w:rsidRPr="00644844">
        <w:rPr>
          <w:rFonts w:ascii="Times New Roman" w:eastAsia="Times New Roman" w:hAnsi="Times New Roman" w:cs="Times New Roman"/>
          <w:sz w:val="24"/>
          <w:szCs w:val="24"/>
        </w:rPr>
        <w:t>for this reporting period</w:t>
      </w:r>
      <w:r>
        <w:rPr>
          <w:rFonts w:ascii="Times New Roman" w:eastAsia="Times New Roman" w:hAnsi="Times New Roman" w:cs="Times New Roman"/>
          <w:sz w:val="24"/>
          <w:szCs w:val="24"/>
        </w:rPr>
        <w:t>.</w:t>
      </w:r>
      <w:r w:rsidRPr="00644844">
        <w:rPr>
          <w:rFonts w:ascii="Times New Roman" w:eastAsia="Times New Roman" w:hAnsi="Times New Roman" w:cs="Times New Roman"/>
          <w:sz w:val="24"/>
          <w:szCs w:val="24"/>
        </w:rPr>
        <w:t xml:space="preserve"> A small percentage of inquiries (3%) </w:t>
      </w:r>
      <w:r w:rsidR="00F5794C">
        <w:rPr>
          <w:rFonts w:ascii="Times New Roman" w:eastAsia="Times New Roman" w:hAnsi="Times New Roman" w:cs="Times New Roman"/>
          <w:sz w:val="24"/>
          <w:szCs w:val="24"/>
        </w:rPr>
        <w:t xml:space="preserve">concerned </w:t>
      </w:r>
      <w:r w:rsidRPr="00644844">
        <w:rPr>
          <w:rFonts w:ascii="Times New Roman" w:eastAsia="Times New Roman" w:hAnsi="Times New Roman" w:cs="Times New Roman"/>
          <w:sz w:val="24"/>
          <w:szCs w:val="24"/>
        </w:rPr>
        <w:t>ma</w:t>
      </w:r>
      <w:r>
        <w:rPr>
          <w:rFonts w:ascii="Times New Roman" w:eastAsia="Times New Roman" w:hAnsi="Times New Roman" w:cs="Times New Roman"/>
          <w:sz w:val="24"/>
          <w:szCs w:val="24"/>
        </w:rPr>
        <w:t>t</w:t>
      </w:r>
      <w:r w:rsidRPr="00644844">
        <w:rPr>
          <w:rFonts w:ascii="Times New Roman" w:eastAsia="Times New Roman" w:hAnsi="Times New Roman" w:cs="Times New Roman"/>
          <w:sz w:val="24"/>
          <w:szCs w:val="24"/>
        </w:rPr>
        <w:t xml:space="preserve">ters not </w:t>
      </w:r>
      <w:r w:rsidR="00F5794C">
        <w:rPr>
          <w:rFonts w:ascii="Times New Roman" w:eastAsia="Times New Roman" w:hAnsi="Times New Roman" w:cs="Times New Roman"/>
          <w:sz w:val="24"/>
          <w:szCs w:val="24"/>
        </w:rPr>
        <w:t xml:space="preserve">under </w:t>
      </w:r>
      <w:r w:rsidRPr="00644844">
        <w:rPr>
          <w:rFonts w:ascii="Times New Roman" w:eastAsia="Times New Roman" w:hAnsi="Times New Roman" w:cs="Times New Roman"/>
          <w:sz w:val="24"/>
          <w:szCs w:val="24"/>
        </w:rPr>
        <w:t>OTA</w:t>
      </w:r>
      <w:r w:rsidR="00F5794C">
        <w:rPr>
          <w:rFonts w:ascii="Times New Roman" w:eastAsia="Times New Roman" w:hAnsi="Times New Roman" w:cs="Times New Roman"/>
          <w:sz w:val="24"/>
          <w:szCs w:val="24"/>
        </w:rPr>
        <w:t>’s jurisdiction</w:t>
      </w:r>
      <w:r w:rsidR="00BC514C">
        <w:rPr>
          <w:rFonts w:ascii="Times New Roman" w:eastAsia="Times New Roman" w:hAnsi="Times New Roman" w:cs="Times New Roman"/>
          <w:sz w:val="24"/>
          <w:szCs w:val="24"/>
        </w:rPr>
        <w:t>,</w:t>
      </w:r>
      <w:r w:rsidRPr="00644844">
        <w:rPr>
          <w:rFonts w:ascii="Times New Roman" w:eastAsia="Times New Roman" w:hAnsi="Times New Roman" w:cs="Times New Roman"/>
          <w:sz w:val="24"/>
          <w:szCs w:val="24"/>
        </w:rPr>
        <w:t xml:space="preserve"> such as the Personal Inc</w:t>
      </w:r>
      <w:r w:rsidR="003420B2">
        <w:rPr>
          <w:rFonts w:ascii="Times New Roman" w:eastAsia="Times New Roman" w:hAnsi="Times New Roman" w:cs="Times New Roman"/>
          <w:sz w:val="24"/>
          <w:szCs w:val="24"/>
        </w:rPr>
        <w:t xml:space="preserve">ome Tax, which is administered by the New York State Department of Taxation and Finance. OTA refers </w:t>
      </w:r>
      <w:r w:rsidR="00F5794C">
        <w:rPr>
          <w:rFonts w:ascii="Times New Roman" w:eastAsia="Times New Roman" w:hAnsi="Times New Roman" w:cs="Times New Roman"/>
          <w:sz w:val="24"/>
          <w:szCs w:val="24"/>
        </w:rPr>
        <w:t>these</w:t>
      </w:r>
      <w:r w:rsidR="003420B2">
        <w:rPr>
          <w:rFonts w:ascii="Times New Roman" w:eastAsia="Times New Roman" w:hAnsi="Times New Roman" w:cs="Times New Roman"/>
          <w:sz w:val="24"/>
          <w:szCs w:val="24"/>
        </w:rPr>
        <w:t xml:space="preserve"> issues </w:t>
      </w:r>
      <w:r w:rsidR="00F5794C">
        <w:rPr>
          <w:rFonts w:ascii="Times New Roman" w:eastAsia="Times New Roman" w:hAnsi="Times New Roman" w:cs="Times New Roman"/>
          <w:sz w:val="24"/>
          <w:szCs w:val="24"/>
        </w:rPr>
        <w:t>directly to</w:t>
      </w:r>
      <w:r w:rsidR="003420B2">
        <w:rPr>
          <w:rFonts w:ascii="Times New Roman" w:eastAsia="Times New Roman" w:hAnsi="Times New Roman" w:cs="Times New Roman"/>
          <w:sz w:val="24"/>
          <w:szCs w:val="24"/>
        </w:rPr>
        <w:t xml:space="preserve"> the</w:t>
      </w:r>
      <w:r w:rsidR="00123A67">
        <w:rPr>
          <w:rFonts w:ascii="Times New Roman" w:eastAsia="Times New Roman" w:hAnsi="Times New Roman" w:cs="Times New Roman"/>
          <w:sz w:val="24"/>
          <w:szCs w:val="24"/>
        </w:rPr>
        <w:t xml:space="preserve"> State </w:t>
      </w:r>
      <w:r w:rsidR="003420B2">
        <w:rPr>
          <w:rFonts w:ascii="Times New Roman" w:eastAsia="Times New Roman" w:hAnsi="Times New Roman" w:cs="Times New Roman"/>
          <w:sz w:val="24"/>
          <w:szCs w:val="24"/>
        </w:rPr>
        <w:t>Office of the Taxpayer Rights Advocate, at (518) 530-4357.</w:t>
      </w:r>
    </w:p>
    <w:p w:rsidR="00C44E1A" w:rsidRPr="00FB16A0" w:rsidRDefault="00C44E1A" w:rsidP="00C44E1A">
      <w:pPr>
        <w:jc w:val="center"/>
        <w:rPr>
          <w:rFonts w:ascii="Times New Roman" w:eastAsia="Times New Roman" w:hAnsi="Times New Roman" w:cs="Times New Roman"/>
          <w:sz w:val="24"/>
          <w:szCs w:val="24"/>
        </w:rPr>
      </w:pPr>
      <w:r w:rsidRPr="00FB16A0">
        <w:rPr>
          <w:rFonts w:ascii="Times New Roman" w:hAnsi="Times New Roman" w:cs="Times New Roman"/>
          <w:noProof/>
          <w:sz w:val="24"/>
          <w:szCs w:val="24"/>
        </w:rPr>
        <w:lastRenderedPageBreak/>
        <w:drawing>
          <wp:inline distT="0" distB="0" distL="0" distR="0" wp14:anchorId="51B56B44" wp14:editId="37E1033E">
            <wp:extent cx="5048250" cy="33432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44E1A" w:rsidRDefault="00C44E1A" w:rsidP="00C44E1A"/>
    <w:p w:rsidR="00C44E1A" w:rsidRPr="00C44E1A" w:rsidRDefault="00C44E1A" w:rsidP="00C44E1A">
      <w:pPr>
        <w:pStyle w:val="ListParagraph"/>
        <w:keepNext/>
        <w:numPr>
          <w:ilvl w:val="0"/>
          <w:numId w:val="1"/>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FB16A0">
        <w:rPr>
          <w:rFonts w:ascii="Times New Roman" w:eastAsia="Times New Roman" w:hAnsi="Times New Roman" w:cs="Times New Roman"/>
          <w:b/>
          <w:i/>
          <w:sz w:val="24"/>
          <w:szCs w:val="24"/>
        </w:rPr>
        <w:lastRenderedPageBreak/>
        <w:t>Source of Total Work by Borough</w:t>
      </w:r>
    </w:p>
    <w:p w:rsidR="00644844" w:rsidRDefault="00644844" w:rsidP="00644844">
      <w:pPr>
        <w:keepNext/>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644844">
        <w:rPr>
          <w:rFonts w:ascii="Times New Roman" w:eastAsia="Times New Roman" w:hAnsi="Times New Roman" w:cs="Times New Roman"/>
          <w:sz w:val="24"/>
          <w:szCs w:val="24"/>
        </w:rPr>
        <w:t xml:space="preserve">The following chart represents matters handled by OTA </w:t>
      </w:r>
      <w:r>
        <w:rPr>
          <w:rFonts w:ascii="Times New Roman" w:eastAsia="Times New Roman" w:hAnsi="Times New Roman" w:cs="Times New Roman"/>
          <w:sz w:val="24"/>
          <w:szCs w:val="24"/>
        </w:rPr>
        <w:t>broken down by borough.</w:t>
      </w:r>
      <w:r w:rsidRPr="00644844">
        <w:rPr>
          <w:rFonts w:ascii="Times New Roman" w:eastAsia="Times New Roman" w:hAnsi="Times New Roman" w:cs="Times New Roman"/>
          <w:sz w:val="24"/>
          <w:szCs w:val="24"/>
        </w:rPr>
        <w:t xml:space="preserve"> OTA is doing additional outreach in the Bronx </w:t>
      </w:r>
      <w:r>
        <w:rPr>
          <w:rFonts w:ascii="Times New Roman" w:eastAsia="Times New Roman" w:hAnsi="Times New Roman" w:cs="Times New Roman"/>
          <w:sz w:val="24"/>
          <w:szCs w:val="24"/>
        </w:rPr>
        <w:t xml:space="preserve">and Staten Island </w:t>
      </w:r>
      <w:r w:rsidRPr="00644844">
        <w:rPr>
          <w:rFonts w:ascii="Times New Roman" w:eastAsia="Times New Roman" w:hAnsi="Times New Roman" w:cs="Times New Roman"/>
          <w:sz w:val="24"/>
          <w:szCs w:val="24"/>
        </w:rPr>
        <w:t>by participating in DOF’s NOPV and Lien Sale events in these</w:t>
      </w:r>
      <w:r w:rsidR="00D91E0C">
        <w:rPr>
          <w:rFonts w:ascii="Times New Roman" w:eastAsia="Times New Roman" w:hAnsi="Times New Roman" w:cs="Times New Roman"/>
          <w:sz w:val="24"/>
          <w:szCs w:val="24"/>
        </w:rPr>
        <w:t xml:space="preserve"> boroughs, including meeting with Councilmembers. To the extent OTA has reached out to these boroughs, the response has been overwhelmingly positive.</w:t>
      </w:r>
    </w:p>
    <w:p w:rsidR="00D91E0C" w:rsidRPr="00644844" w:rsidRDefault="00D91E0C" w:rsidP="00644844">
      <w:pPr>
        <w:keepNext/>
        <w:shd w:val="clear" w:color="auto" w:fill="FFFFFF"/>
        <w:spacing w:before="100" w:beforeAutospacing="1" w:after="100" w:afterAutospacing="1" w:line="300" w:lineRule="atLeast"/>
        <w:rPr>
          <w:rFonts w:ascii="Times New Roman" w:eastAsia="Times New Roman" w:hAnsi="Times New Roman" w:cs="Times New Roman"/>
          <w:sz w:val="24"/>
          <w:szCs w:val="24"/>
        </w:rPr>
      </w:pPr>
    </w:p>
    <w:p w:rsidR="00C44E1A" w:rsidRPr="00FB16A0" w:rsidRDefault="00C44E1A" w:rsidP="003420B2">
      <w:pPr>
        <w:shd w:val="clear" w:color="auto" w:fill="FFFFFF"/>
        <w:tabs>
          <w:tab w:val="left" w:pos="8640"/>
        </w:tabs>
        <w:spacing w:before="100" w:beforeAutospacing="1" w:after="100" w:afterAutospacing="1" w:line="300" w:lineRule="atLeast"/>
        <w:jc w:val="center"/>
        <w:rPr>
          <w:rFonts w:ascii="Times New Roman" w:eastAsia="Times New Roman" w:hAnsi="Times New Roman" w:cs="Times New Roman"/>
          <w:b/>
          <w:i/>
          <w:sz w:val="24"/>
          <w:szCs w:val="24"/>
        </w:rPr>
      </w:pPr>
      <w:r w:rsidRPr="00FB16A0">
        <w:rPr>
          <w:rFonts w:ascii="Times New Roman" w:hAnsi="Times New Roman" w:cs="Times New Roman"/>
          <w:noProof/>
          <w:sz w:val="24"/>
          <w:szCs w:val="24"/>
        </w:rPr>
        <w:drawing>
          <wp:inline distT="0" distB="0" distL="0" distR="0" wp14:anchorId="0D399347" wp14:editId="74D3CF59">
            <wp:extent cx="5048250" cy="374332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C0E90" w:rsidRDefault="009C0E90" w:rsidP="009C0E90">
      <w:pPr>
        <w:pStyle w:val="ListParagraph"/>
        <w:keepNext/>
        <w:numPr>
          <w:ilvl w:val="0"/>
          <w:numId w:val="1"/>
        </w:numPr>
        <w:shd w:val="clear" w:color="auto" w:fill="FFFFFF"/>
        <w:spacing w:before="100" w:beforeAutospacing="1" w:after="100" w:afterAutospacing="1" w:line="300" w:lineRule="atLeast"/>
        <w:rPr>
          <w:rFonts w:ascii="Times New Roman" w:eastAsia="Times New Roman" w:hAnsi="Times New Roman" w:cs="Times New Roman"/>
          <w:b/>
          <w:i/>
          <w:sz w:val="24"/>
          <w:szCs w:val="24"/>
        </w:rPr>
      </w:pPr>
      <w:r w:rsidRPr="00FB16A0">
        <w:rPr>
          <w:rFonts w:ascii="Times New Roman" w:eastAsia="Times New Roman" w:hAnsi="Times New Roman" w:cs="Times New Roman"/>
          <w:b/>
          <w:i/>
          <w:sz w:val="24"/>
          <w:szCs w:val="24"/>
        </w:rPr>
        <w:lastRenderedPageBreak/>
        <w:t xml:space="preserve">Breakdown of </w:t>
      </w:r>
      <w:r w:rsidR="00475748">
        <w:rPr>
          <w:rFonts w:ascii="Times New Roman" w:eastAsia="Times New Roman" w:hAnsi="Times New Roman" w:cs="Times New Roman"/>
          <w:b/>
          <w:i/>
          <w:sz w:val="24"/>
          <w:szCs w:val="24"/>
        </w:rPr>
        <w:t>Identified Recurring Issues in Cases</w:t>
      </w:r>
    </w:p>
    <w:p w:rsidR="00644844" w:rsidRPr="00644844" w:rsidRDefault="00644844" w:rsidP="00644844">
      <w:pPr>
        <w:keepNext/>
        <w:spacing w:after="0" w:line="240" w:lineRule="auto"/>
        <w:rPr>
          <w:rFonts w:ascii="Times New Roman" w:hAnsi="Times New Roman" w:cs="Times New Roman"/>
          <w:sz w:val="24"/>
          <w:szCs w:val="24"/>
        </w:rPr>
      </w:pPr>
      <w:r w:rsidRPr="00644844">
        <w:rPr>
          <w:rFonts w:ascii="Times New Roman" w:hAnsi="Times New Roman" w:cs="Times New Roman"/>
          <w:sz w:val="24"/>
          <w:szCs w:val="24"/>
        </w:rPr>
        <w:t xml:space="preserve">In resolving cases, OTA identifies recurring problems. The charts below </w:t>
      </w:r>
      <w:r w:rsidR="00F5794C">
        <w:rPr>
          <w:rFonts w:ascii="Times New Roman" w:hAnsi="Times New Roman" w:cs="Times New Roman"/>
          <w:sz w:val="24"/>
          <w:szCs w:val="24"/>
        </w:rPr>
        <w:t xml:space="preserve">provide </w:t>
      </w:r>
      <w:r w:rsidRPr="00644844">
        <w:rPr>
          <w:rFonts w:ascii="Times New Roman" w:hAnsi="Times New Roman" w:cs="Times New Roman"/>
          <w:sz w:val="24"/>
          <w:szCs w:val="24"/>
        </w:rPr>
        <w:t xml:space="preserve">descriptions of </w:t>
      </w:r>
      <w:r w:rsidR="00F5794C">
        <w:rPr>
          <w:rFonts w:ascii="Times New Roman" w:hAnsi="Times New Roman" w:cs="Times New Roman"/>
          <w:sz w:val="24"/>
          <w:szCs w:val="24"/>
        </w:rPr>
        <w:t xml:space="preserve">issues </w:t>
      </w:r>
      <w:r w:rsidRPr="00644844">
        <w:rPr>
          <w:rFonts w:ascii="Times New Roman" w:hAnsi="Times New Roman" w:cs="Times New Roman"/>
          <w:sz w:val="24"/>
          <w:szCs w:val="24"/>
        </w:rPr>
        <w:t xml:space="preserve">handled by OTA between April 1, 2016 and March 31, 2017. Some matters </w:t>
      </w:r>
      <w:r w:rsidR="00330F19">
        <w:rPr>
          <w:rFonts w:ascii="Times New Roman" w:hAnsi="Times New Roman" w:cs="Times New Roman"/>
          <w:sz w:val="24"/>
          <w:szCs w:val="24"/>
        </w:rPr>
        <w:t>involve</w:t>
      </w:r>
      <w:r w:rsidRPr="00644844">
        <w:rPr>
          <w:rFonts w:ascii="Times New Roman" w:hAnsi="Times New Roman" w:cs="Times New Roman"/>
          <w:sz w:val="24"/>
          <w:szCs w:val="24"/>
        </w:rPr>
        <w:t xml:space="preserve"> multiple issues, resulting in more issues (315) than cases (305).</w:t>
      </w:r>
    </w:p>
    <w:p w:rsidR="00AE13CD" w:rsidRDefault="003A4142" w:rsidP="0058452E">
      <w:pPr>
        <w:shd w:val="clear" w:color="auto" w:fill="FFFFFF"/>
        <w:spacing w:before="100" w:beforeAutospacing="1" w:after="100" w:afterAutospacing="1" w:line="300" w:lineRule="atLeast"/>
        <w:rPr>
          <w:rFonts w:ascii="Times New Roman" w:eastAsia="Times New Roman" w:hAnsi="Times New Roman" w:cs="Times New Roman"/>
          <w:i/>
          <w:sz w:val="24"/>
          <w:szCs w:val="24"/>
        </w:rPr>
      </w:pPr>
      <w:r w:rsidRPr="00FB16A0">
        <w:rPr>
          <w:rFonts w:ascii="Times New Roman" w:eastAsia="Times New Roman" w:hAnsi="Times New Roman" w:cs="Times New Roman"/>
          <w:i/>
          <w:noProof/>
          <w:sz w:val="24"/>
          <w:szCs w:val="24"/>
        </w:rPr>
        <w:drawing>
          <wp:inline distT="0" distB="0" distL="0" distR="0" wp14:anchorId="4C96C378" wp14:editId="4ED5A5B0">
            <wp:extent cx="6076950" cy="309562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75748" w:rsidRPr="00644844" w:rsidRDefault="00644844" w:rsidP="00644844">
      <w:pPr>
        <w:pStyle w:val="ListParagraph"/>
        <w:numPr>
          <w:ilvl w:val="0"/>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One hundred twelve (</w:t>
      </w:r>
      <w:r w:rsidRPr="00B25740">
        <w:rPr>
          <w:rFonts w:ascii="Times New Roman" w:eastAsia="Times New Roman" w:hAnsi="Times New Roman" w:cs="Times New Roman"/>
          <w:sz w:val="24"/>
          <w:szCs w:val="24"/>
        </w:rPr>
        <w:t>112</w:t>
      </w:r>
      <w:r>
        <w:rPr>
          <w:rFonts w:ascii="Times New Roman" w:eastAsia="Times New Roman" w:hAnsi="Times New Roman" w:cs="Times New Roman"/>
          <w:sz w:val="24"/>
          <w:szCs w:val="24"/>
        </w:rPr>
        <w:t>) p</w:t>
      </w:r>
      <w:r w:rsidRPr="00B25740">
        <w:rPr>
          <w:rFonts w:ascii="Times New Roman" w:eastAsia="Times New Roman" w:hAnsi="Times New Roman" w:cs="Times New Roman"/>
          <w:sz w:val="24"/>
          <w:szCs w:val="24"/>
        </w:rPr>
        <w:t xml:space="preserve">roperty owners </w:t>
      </w:r>
      <w:r w:rsidR="000B3247">
        <w:rPr>
          <w:rFonts w:ascii="Times New Roman" w:eastAsia="Times New Roman" w:hAnsi="Times New Roman" w:cs="Times New Roman"/>
          <w:sz w:val="24"/>
          <w:szCs w:val="24"/>
        </w:rPr>
        <w:t xml:space="preserve">(36.72%) </w:t>
      </w:r>
      <w:r>
        <w:rPr>
          <w:rFonts w:ascii="Times New Roman" w:eastAsia="Times New Roman" w:hAnsi="Times New Roman" w:cs="Times New Roman"/>
          <w:sz w:val="24"/>
          <w:szCs w:val="24"/>
        </w:rPr>
        <w:t xml:space="preserve">alleged </w:t>
      </w:r>
      <w:r w:rsidRPr="00B25740">
        <w:rPr>
          <w:rFonts w:ascii="Times New Roman" w:eastAsia="Times New Roman" w:hAnsi="Times New Roman" w:cs="Times New Roman"/>
          <w:sz w:val="24"/>
          <w:szCs w:val="24"/>
        </w:rPr>
        <w:t xml:space="preserve">that DOF made </w:t>
      </w:r>
      <w:r w:rsidR="00D91E0C">
        <w:rPr>
          <w:rFonts w:ascii="Times New Roman" w:eastAsia="Times New Roman" w:hAnsi="Times New Roman" w:cs="Times New Roman"/>
          <w:sz w:val="24"/>
          <w:szCs w:val="24"/>
        </w:rPr>
        <w:t>errors related to</w:t>
      </w:r>
      <w:r>
        <w:rPr>
          <w:rFonts w:ascii="Times New Roman" w:eastAsia="Times New Roman" w:hAnsi="Times New Roman" w:cs="Times New Roman"/>
          <w:sz w:val="24"/>
          <w:szCs w:val="24"/>
        </w:rPr>
        <w:t xml:space="preserve"> </w:t>
      </w:r>
      <w:r w:rsidRPr="00B25740">
        <w:rPr>
          <w:rFonts w:ascii="Times New Roman" w:eastAsia="Times New Roman" w:hAnsi="Times New Roman" w:cs="Times New Roman"/>
          <w:sz w:val="24"/>
          <w:szCs w:val="24"/>
        </w:rPr>
        <w:t>tax exemptions or abatements</w:t>
      </w:r>
      <w:r>
        <w:rPr>
          <w:rFonts w:ascii="Times New Roman" w:eastAsia="Times New Roman" w:hAnsi="Times New Roman" w:cs="Times New Roman"/>
          <w:sz w:val="24"/>
          <w:szCs w:val="24"/>
        </w:rPr>
        <w:t xml:space="preserve">, broken down as follows: </w:t>
      </w:r>
    </w:p>
    <w:p w:rsidR="00644844" w:rsidRPr="0063025B" w:rsidRDefault="00644844" w:rsidP="00644844">
      <w:pPr>
        <w:pStyle w:val="ListParagraph"/>
        <w:numPr>
          <w:ilvl w:val="1"/>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63025B">
        <w:rPr>
          <w:rFonts w:ascii="Times New Roman" w:eastAsia="Times New Roman" w:hAnsi="Times New Roman" w:cs="Times New Roman"/>
          <w:sz w:val="24"/>
          <w:szCs w:val="24"/>
        </w:rPr>
        <w:t>78 cases involved que</w:t>
      </w:r>
      <w:r>
        <w:rPr>
          <w:rFonts w:ascii="Times New Roman" w:eastAsia="Times New Roman" w:hAnsi="Times New Roman" w:cs="Times New Roman"/>
          <w:sz w:val="24"/>
          <w:szCs w:val="24"/>
        </w:rPr>
        <w:t xml:space="preserve">stions regarding the correction or denial of a tax benefit </w:t>
      </w:r>
      <w:r w:rsidRPr="0063025B">
        <w:rPr>
          <w:rFonts w:ascii="Times New Roman" w:eastAsia="Times New Roman" w:hAnsi="Times New Roman" w:cs="Times New Roman"/>
          <w:sz w:val="24"/>
          <w:szCs w:val="24"/>
        </w:rPr>
        <w:t xml:space="preserve">as a result of </w:t>
      </w:r>
      <w:r>
        <w:rPr>
          <w:rFonts w:ascii="Times New Roman" w:eastAsia="Times New Roman" w:hAnsi="Times New Roman" w:cs="Times New Roman"/>
          <w:sz w:val="24"/>
          <w:szCs w:val="24"/>
        </w:rPr>
        <w:t xml:space="preserve">a </w:t>
      </w:r>
      <w:r w:rsidRPr="0063025B">
        <w:rPr>
          <w:rFonts w:ascii="Times New Roman" w:eastAsia="Times New Roman" w:hAnsi="Times New Roman" w:cs="Times New Roman"/>
          <w:sz w:val="24"/>
          <w:szCs w:val="24"/>
        </w:rPr>
        <w:t xml:space="preserve">DOF </w:t>
      </w:r>
      <w:r>
        <w:rPr>
          <w:rFonts w:ascii="Times New Roman" w:eastAsia="Times New Roman" w:hAnsi="Times New Roman" w:cs="Times New Roman"/>
          <w:sz w:val="24"/>
          <w:szCs w:val="24"/>
        </w:rPr>
        <w:t>action</w:t>
      </w:r>
      <w:r w:rsidRPr="0063025B">
        <w:rPr>
          <w:rFonts w:ascii="Times New Roman" w:eastAsia="Times New Roman" w:hAnsi="Times New Roman" w:cs="Times New Roman"/>
          <w:sz w:val="24"/>
          <w:szCs w:val="24"/>
        </w:rPr>
        <w:t>.</w:t>
      </w:r>
    </w:p>
    <w:p w:rsidR="00644844" w:rsidRDefault="00644844" w:rsidP="00644844">
      <w:pPr>
        <w:pStyle w:val="ListParagraph"/>
        <w:numPr>
          <w:ilvl w:val="1"/>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B25740">
        <w:rPr>
          <w:rFonts w:ascii="Times New Roman" w:eastAsia="Times New Roman" w:hAnsi="Times New Roman" w:cs="Times New Roman"/>
          <w:sz w:val="24"/>
          <w:szCs w:val="24"/>
        </w:rPr>
        <w:t xml:space="preserve"> cases</w:t>
      </w:r>
      <w:r>
        <w:rPr>
          <w:rFonts w:ascii="Times New Roman" w:eastAsia="Times New Roman" w:hAnsi="Times New Roman" w:cs="Times New Roman"/>
          <w:sz w:val="24"/>
          <w:szCs w:val="24"/>
        </w:rPr>
        <w:t xml:space="preserve"> related to </w:t>
      </w:r>
      <w:r w:rsidRPr="00B25740">
        <w:rPr>
          <w:rFonts w:ascii="Times New Roman" w:eastAsia="Times New Roman" w:hAnsi="Times New Roman" w:cs="Times New Roman"/>
          <w:sz w:val="24"/>
          <w:szCs w:val="24"/>
        </w:rPr>
        <w:t>cooperative abatement</w:t>
      </w:r>
      <w:r>
        <w:rPr>
          <w:rFonts w:ascii="Times New Roman" w:eastAsia="Times New Roman" w:hAnsi="Times New Roman" w:cs="Times New Roman"/>
          <w:sz w:val="24"/>
          <w:szCs w:val="24"/>
        </w:rPr>
        <w:t>s</w:t>
      </w:r>
      <w:r w:rsidRPr="00B25740">
        <w:rPr>
          <w:rFonts w:ascii="Times New Roman" w:eastAsia="Times New Roman" w:hAnsi="Times New Roman" w:cs="Times New Roman"/>
          <w:sz w:val="24"/>
          <w:szCs w:val="24"/>
        </w:rPr>
        <w:t xml:space="preserve"> denied or removed </w:t>
      </w:r>
      <w:r>
        <w:rPr>
          <w:rFonts w:ascii="Times New Roman" w:eastAsia="Times New Roman" w:hAnsi="Times New Roman" w:cs="Times New Roman"/>
          <w:sz w:val="24"/>
          <w:szCs w:val="24"/>
        </w:rPr>
        <w:t>due to</w:t>
      </w:r>
      <w:r w:rsidRPr="00B25740">
        <w:rPr>
          <w:rFonts w:ascii="Times New Roman" w:eastAsia="Times New Roman" w:hAnsi="Times New Roman" w:cs="Times New Roman"/>
          <w:sz w:val="24"/>
          <w:szCs w:val="24"/>
        </w:rPr>
        <w:t xml:space="preserve"> managing agent error.</w:t>
      </w:r>
    </w:p>
    <w:p w:rsidR="00644844" w:rsidRPr="00B25740" w:rsidRDefault="00644844" w:rsidP="00644844">
      <w:pPr>
        <w:pStyle w:val="ListParagraph"/>
        <w:numPr>
          <w:ilvl w:val="1"/>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9 cases involved retroactive revocations of tax benefits.</w:t>
      </w:r>
    </w:p>
    <w:p w:rsidR="00644844" w:rsidRDefault="00644844" w:rsidP="00644844">
      <w:pPr>
        <w:pStyle w:val="ListParagraph"/>
        <w:numPr>
          <w:ilvl w:val="1"/>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 cases involved the removal of homeowner tax benefits.</w:t>
      </w:r>
    </w:p>
    <w:p w:rsidR="00644844" w:rsidRDefault="00644844" w:rsidP="00644844">
      <w:pPr>
        <w:pStyle w:val="ListParagraph"/>
        <w:numPr>
          <w:ilvl w:val="1"/>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89078B">
        <w:rPr>
          <w:rFonts w:ascii="Times New Roman" w:eastAsia="Times New Roman" w:hAnsi="Times New Roman" w:cs="Times New Roman"/>
          <w:sz w:val="24"/>
          <w:szCs w:val="24"/>
        </w:rPr>
        <w:t>3 cases</w:t>
      </w:r>
      <w:r>
        <w:rPr>
          <w:rFonts w:ascii="Times New Roman" w:eastAsia="Times New Roman" w:hAnsi="Times New Roman" w:cs="Times New Roman"/>
          <w:sz w:val="24"/>
          <w:szCs w:val="24"/>
        </w:rPr>
        <w:t xml:space="preserve"> related to the status of a not-for-profit property exemption.</w:t>
      </w:r>
    </w:p>
    <w:p w:rsidR="00644844" w:rsidRPr="0089078B" w:rsidRDefault="00644844" w:rsidP="00644844">
      <w:pPr>
        <w:pStyle w:val="ListParagraph"/>
        <w:numPr>
          <w:ilvl w:val="1"/>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75748">
        <w:rPr>
          <w:rFonts w:ascii="Times New Roman" w:eastAsia="Times New Roman" w:hAnsi="Times New Roman" w:cs="Times New Roman"/>
          <w:sz w:val="24"/>
          <w:szCs w:val="24"/>
        </w:rPr>
        <w:t xml:space="preserve"> cases </w:t>
      </w:r>
      <w:r>
        <w:rPr>
          <w:rFonts w:ascii="Times New Roman" w:eastAsia="Times New Roman" w:hAnsi="Times New Roman" w:cs="Times New Roman"/>
          <w:sz w:val="24"/>
          <w:szCs w:val="24"/>
        </w:rPr>
        <w:t>alleged that tax benefits</w:t>
      </w:r>
      <w:r w:rsidRPr="00475748">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ere</w:t>
      </w:r>
      <w:r w:rsidRPr="00475748">
        <w:rPr>
          <w:rFonts w:ascii="Times New Roman" w:eastAsia="Times New Roman" w:hAnsi="Times New Roman" w:cs="Times New Roman"/>
          <w:sz w:val="24"/>
          <w:szCs w:val="24"/>
        </w:rPr>
        <w:t xml:space="preserve"> wrongly removed </w:t>
      </w:r>
      <w:r>
        <w:rPr>
          <w:rFonts w:ascii="Times New Roman" w:eastAsia="Times New Roman" w:hAnsi="Times New Roman" w:cs="Times New Roman"/>
          <w:sz w:val="24"/>
          <w:szCs w:val="24"/>
        </w:rPr>
        <w:t xml:space="preserve">due to incorrect </w:t>
      </w:r>
      <w:r w:rsidRPr="00475748">
        <w:rPr>
          <w:rFonts w:ascii="Times New Roman" w:eastAsia="Times New Roman" w:hAnsi="Times New Roman" w:cs="Times New Roman"/>
          <w:sz w:val="24"/>
          <w:szCs w:val="24"/>
        </w:rPr>
        <w:t>automa</w:t>
      </w:r>
      <w:r>
        <w:rPr>
          <w:rFonts w:ascii="Times New Roman" w:eastAsia="Times New Roman" w:hAnsi="Times New Roman" w:cs="Times New Roman"/>
          <w:sz w:val="24"/>
          <w:szCs w:val="24"/>
        </w:rPr>
        <w:t>ted</w:t>
      </w:r>
      <w:r w:rsidRPr="00475748">
        <w:rPr>
          <w:rFonts w:ascii="Times New Roman" w:eastAsia="Times New Roman" w:hAnsi="Times New Roman" w:cs="Times New Roman"/>
          <w:sz w:val="24"/>
          <w:szCs w:val="24"/>
        </w:rPr>
        <w:t xml:space="preserve"> feed into ACRIS</w:t>
      </w:r>
      <w:r>
        <w:rPr>
          <w:rFonts w:ascii="Times New Roman" w:eastAsia="Times New Roman" w:hAnsi="Times New Roman" w:cs="Times New Roman"/>
          <w:sz w:val="24"/>
          <w:szCs w:val="24"/>
        </w:rPr>
        <w:t>.</w:t>
      </w:r>
    </w:p>
    <w:p w:rsidR="00644844" w:rsidRPr="0089078B" w:rsidRDefault="00644844" w:rsidP="00644844">
      <w:pPr>
        <w:pStyle w:val="ListParagraph"/>
        <w:numPr>
          <w:ilvl w:val="1"/>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89078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case</w:t>
      </w:r>
      <w:r w:rsidRPr="0089078B">
        <w:rPr>
          <w:rFonts w:ascii="Times New Roman" w:eastAsia="Times New Roman" w:hAnsi="Times New Roman" w:cs="Times New Roman"/>
          <w:sz w:val="24"/>
          <w:szCs w:val="24"/>
        </w:rPr>
        <w:t xml:space="preserve"> involved a homeowner tax benefit, for which the property owner qualified, was revoked because the application for the benefit had been received past the deadline for applying.</w:t>
      </w:r>
    </w:p>
    <w:p w:rsidR="00644844" w:rsidRDefault="00644844" w:rsidP="00644844">
      <w:pPr>
        <w:pStyle w:val="ListParagraph"/>
        <w:numPr>
          <w:ilvl w:val="1"/>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475748">
        <w:rPr>
          <w:rFonts w:ascii="Times New Roman" w:eastAsia="Times New Roman" w:hAnsi="Times New Roman" w:cs="Times New Roman"/>
          <w:sz w:val="24"/>
          <w:szCs w:val="24"/>
        </w:rPr>
        <w:t xml:space="preserve">case involved a tax </w:t>
      </w:r>
      <w:r>
        <w:rPr>
          <w:rFonts w:ascii="Times New Roman" w:eastAsia="Times New Roman" w:hAnsi="Times New Roman" w:cs="Times New Roman"/>
          <w:sz w:val="24"/>
          <w:szCs w:val="24"/>
        </w:rPr>
        <w:t>benefit</w:t>
      </w:r>
      <w:r w:rsidRPr="004757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incorrectly </w:t>
      </w:r>
      <w:r w:rsidRPr="00475748">
        <w:rPr>
          <w:rFonts w:ascii="Times New Roman" w:eastAsia="Times New Roman" w:hAnsi="Times New Roman" w:cs="Times New Roman"/>
          <w:sz w:val="24"/>
          <w:szCs w:val="24"/>
        </w:rPr>
        <w:t xml:space="preserve">removed </w:t>
      </w:r>
      <w:r>
        <w:rPr>
          <w:rFonts w:ascii="Times New Roman" w:eastAsia="Times New Roman" w:hAnsi="Times New Roman" w:cs="Times New Roman"/>
          <w:sz w:val="24"/>
          <w:szCs w:val="24"/>
        </w:rPr>
        <w:t xml:space="preserve">due to </w:t>
      </w:r>
      <w:r w:rsidRPr="00475748">
        <w:rPr>
          <w:rFonts w:ascii="Times New Roman" w:eastAsia="Times New Roman" w:hAnsi="Times New Roman" w:cs="Times New Roman"/>
          <w:sz w:val="24"/>
          <w:szCs w:val="24"/>
        </w:rPr>
        <w:t>an error in the data feed from New York State.</w:t>
      </w:r>
    </w:p>
    <w:p w:rsidR="00475748" w:rsidRPr="00644844" w:rsidRDefault="00644844" w:rsidP="00644844">
      <w:pPr>
        <w:pStyle w:val="ListParagraph"/>
        <w:numPr>
          <w:ilvl w:val="0"/>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Eighty-two (82) taxpayers</w:t>
      </w:r>
      <w:r w:rsidR="000B3247">
        <w:rPr>
          <w:rFonts w:ascii="Times New Roman" w:eastAsia="Times New Roman" w:hAnsi="Times New Roman" w:cs="Times New Roman"/>
          <w:sz w:val="24"/>
          <w:szCs w:val="24"/>
        </w:rPr>
        <w:t xml:space="preserve"> (26.88%)</w:t>
      </w:r>
      <w:r>
        <w:rPr>
          <w:rFonts w:ascii="Times New Roman" w:eastAsia="Times New Roman" w:hAnsi="Times New Roman" w:cs="Times New Roman"/>
          <w:sz w:val="24"/>
          <w:szCs w:val="24"/>
        </w:rPr>
        <w:t xml:space="preserve"> contacted OTA for assistance in understanding DOF’s calculation of property or business taxes:</w:t>
      </w:r>
    </w:p>
    <w:p w:rsidR="00644844" w:rsidRDefault="00644844" w:rsidP="00644844">
      <w:pPr>
        <w:pStyle w:val="ListParagraph"/>
        <w:numPr>
          <w:ilvl w:val="1"/>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34 cases involved taxpayers who had difficulty understanding how DOF calculated their property tax.</w:t>
      </w:r>
    </w:p>
    <w:p w:rsidR="00644844" w:rsidRDefault="00644844" w:rsidP="00644844">
      <w:pPr>
        <w:pStyle w:val="ListParagraph"/>
        <w:numPr>
          <w:ilvl w:val="1"/>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 cases involved taxpayers who had difficulty understanding how DOF calculated their business tax.</w:t>
      </w:r>
    </w:p>
    <w:p w:rsidR="00644844" w:rsidRDefault="00644844" w:rsidP="00644844">
      <w:pPr>
        <w:pStyle w:val="ListParagraph"/>
        <w:numPr>
          <w:ilvl w:val="1"/>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0D72F7">
        <w:rPr>
          <w:rFonts w:ascii="Times New Roman" w:eastAsia="Times New Roman" w:hAnsi="Times New Roman" w:cs="Times New Roman"/>
          <w:sz w:val="24"/>
          <w:szCs w:val="24"/>
        </w:rPr>
        <w:t xml:space="preserve">15 cases involved </w:t>
      </w:r>
      <w:r>
        <w:rPr>
          <w:rFonts w:ascii="Times New Roman" w:eastAsia="Times New Roman" w:hAnsi="Times New Roman" w:cs="Times New Roman"/>
          <w:sz w:val="24"/>
          <w:szCs w:val="24"/>
        </w:rPr>
        <w:t>property owners alleging</w:t>
      </w:r>
      <w:r w:rsidRPr="000D72F7">
        <w:rPr>
          <w:rFonts w:ascii="Times New Roman" w:eastAsia="Times New Roman" w:hAnsi="Times New Roman" w:cs="Times New Roman"/>
          <w:sz w:val="24"/>
          <w:szCs w:val="24"/>
        </w:rPr>
        <w:t xml:space="preserve"> that DOF was inconsistent</w:t>
      </w:r>
      <w:r>
        <w:rPr>
          <w:rFonts w:ascii="Times New Roman" w:eastAsia="Times New Roman" w:hAnsi="Times New Roman" w:cs="Times New Roman"/>
          <w:sz w:val="24"/>
          <w:szCs w:val="24"/>
        </w:rPr>
        <w:t>ly</w:t>
      </w:r>
      <w:r w:rsidRPr="000D72F7">
        <w:rPr>
          <w:rFonts w:ascii="Times New Roman" w:eastAsia="Times New Roman" w:hAnsi="Times New Roman" w:cs="Times New Roman"/>
          <w:sz w:val="24"/>
          <w:szCs w:val="24"/>
        </w:rPr>
        <w:t xml:space="preserve"> determining market or assessed value.</w:t>
      </w:r>
    </w:p>
    <w:p w:rsidR="00644844" w:rsidRDefault="00644844" w:rsidP="00644844">
      <w:pPr>
        <w:pStyle w:val="ListParagraph"/>
        <w:numPr>
          <w:ilvl w:val="1"/>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0D72F7">
        <w:rPr>
          <w:rFonts w:ascii="Times New Roman" w:eastAsia="Times New Roman" w:hAnsi="Times New Roman" w:cs="Times New Roman"/>
          <w:sz w:val="24"/>
          <w:szCs w:val="24"/>
        </w:rPr>
        <w:t xml:space="preserve">cases involved </w:t>
      </w:r>
      <w:r>
        <w:rPr>
          <w:rFonts w:ascii="Times New Roman" w:eastAsia="Times New Roman" w:hAnsi="Times New Roman" w:cs="Times New Roman"/>
          <w:sz w:val="24"/>
          <w:szCs w:val="24"/>
        </w:rPr>
        <w:t>property class misclassification.</w:t>
      </w:r>
    </w:p>
    <w:p w:rsidR="00644844" w:rsidRDefault="00644844" w:rsidP="00644844">
      <w:pPr>
        <w:pStyle w:val="ListParagraph"/>
        <w:numPr>
          <w:ilvl w:val="1"/>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case involved a misapplied payment resulting from third party error.</w:t>
      </w:r>
    </w:p>
    <w:p w:rsidR="000D72F7" w:rsidRPr="00644844" w:rsidRDefault="00644844" w:rsidP="00644844">
      <w:pPr>
        <w:pStyle w:val="ListParagraph"/>
        <w:numPr>
          <w:ilvl w:val="0"/>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1D4E38">
        <w:rPr>
          <w:rFonts w:ascii="Times New Roman" w:eastAsia="Times New Roman" w:hAnsi="Times New Roman" w:cs="Times New Roman"/>
          <w:sz w:val="24"/>
          <w:szCs w:val="24"/>
        </w:rPr>
        <w:t xml:space="preserve">Forty-four (44) taxpayers </w:t>
      </w:r>
      <w:r w:rsidR="000B3247">
        <w:rPr>
          <w:rFonts w:ascii="Times New Roman" w:eastAsia="Times New Roman" w:hAnsi="Times New Roman" w:cs="Times New Roman"/>
          <w:sz w:val="24"/>
          <w:szCs w:val="24"/>
        </w:rPr>
        <w:t xml:space="preserve">(14.42%) </w:t>
      </w:r>
      <w:r w:rsidRPr="001D4E38">
        <w:rPr>
          <w:rFonts w:ascii="Times New Roman" w:eastAsia="Times New Roman" w:hAnsi="Times New Roman" w:cs="Times New Roman"/>
          <w:sz w:val="24"/>
          <w:szCs w:val="24"/>
        </w:rPr>
        <w:t>contacted OTA for assistance either because they could not understand or did no</w:t>
      </w:r>
      <w:r w:rsidR="004E5F22">
        <w:rPr>
          <w:rFonts w:ascii="Times New Roman" w:eastAsia="Times New Roman" w:hAnsi="Times New Roman" w:cs="Times New Roman"/>
          <w:sz w:val="24"/>
          <w:szCs w:val="24"/>
        </w:rPr>
        <w:t>t receive a DOF communication.</w:t>
      </w:r>
    </w:p>
    <w:p w:rsidR="00644844" w:rsidRPr="00AA0268" w:rsidRDefault="00644844" w:rsidP="00644844">
      <w:pPr>
        <w:pStyle w:val="ListParagraph"/>
        <w:numPr>
          <w:ilvl w:val="1"/>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AA0268">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t>
      </w:r>
      <w:r w:rsidRPr="00AA0268">
        <w:rPr>
          <w:rFonts w:ascii="Times New Roman" w:eastAsia="Times New Roman" w:hAnsi="Times New Roman" w:cs="Times New Roman"/>
          <w:sz w:val="24"/>
          <w:szCs w:val="24"/>
        </w:rPr>
        <w:t>cases involved complaints of unclear notices, forms or correspondence.</w:t>
      </w:r>
    </w:p>
    <w:p w:rsidR="00644844" w:rsidRPr="00AA0268" w:rsidRDefault="00644844" w:rsidP="00644844">
      <w:pPr>
        <w:pStyle w:val="ListParagraph"/>
        <w:numPr>
          <w:ilvl w:val="1"/>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AA0268">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Pr="00AA0268">
        <w:rPr>
          <w:rFonts w:ascii="Times New Roman" w:eastAsia="Times New Roman" w:hAnsi="Times New Roman" w:cs="Times New Roman"/>
          <w:sz w:val="24"/>
          <w:szCs w:val="24"/>
        </w:rPr>
        <w:t xml:space="preserve">cases </w:t>
      </w:r>
      <w:r>
        <w:rPr>
          <w:rFonts w:ascii="Times New Roman" w:eastAsia="Times New Roman" w:hAnsi="Times New Roman" w:cs="Times New Roman"/>
          <w:sz w:val="24"/>
          <w:szCs w:val="24"/>
        </w:rPr>
        <w:t>related to</w:t>
      </w:r>
      <w:r w:rsidRPr="00AA0268">
        <w:rPr>
          <w:rFonts w:ascii="Times New Roman" w:eastAsia="Times New Roman" w:hAnsi="Times New Roman" w:cs="Times New Roman"/>
          <w:sz w:val="24"/>
          <w:szCs w:val="24"/>
        </w:rPr>
        <w:t xml:space="preserve"> delays in processing by DOF.</w:t>
      </w:r>
    </w:p>
    <w:p w:rsidR="00644844" w:rsidRPr="00AA0268" w:rsidRDefault="00644844" w:rsidP="00644844">
      <w:pPr>
        <w:pStyle w:val="ListParagraph"/>
        <w:numPr>
          <w:ilvl w:val="1"/>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AA0268">
        <w:rPr>
          <w:rFonts w:ascii="Times New Roman" w:eastAsia="Times New Roman" w:hAnsi="Times New Roman" w:cs="Times New Roman"/>
          <w:sz w:val="24"/>
          <w:szCs w:val="24"/>
        </w:rPr>
        <w:t xml:space="preserve">6 cases involved </w:t>
      </w:r>
      <w:r>
        <w:rPr>
          <w:rFonts w:ascii="Times New Roman" w:eastAsia="Times New Roman" w:hAnsi="Times New Roman" w:cs="Times New Roman"/>
          <w:sz w:val="24"/>
          <w:szCs w:val="24"/>
        </w:rPr>
        <w:t>taxpayers who did not receive a DOF communication.</w:t>
      </w:r>
    </w:p>
    <w:p w:rsidR="00644844" w:rsidRPr="00AA0268" w:rsidRDefault="00644844" w:rsidP="00644844">
      <w:pPr>
        <w:pStyle w:val="ListParagraph"/>
        <w:numPr>
          <w:ilvl w:val="1"/>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AA0268">
        <w:rPr>
          <w:rFonts w:ascii="Times New Roman" w:eastAsia="Times New Roman" w:hAnsi="Times New Roman" w:cs="Times New Roman"/>
          <w:sz w:val="24"/>
          <w:szCs w:val="24"/>
        </w:rPr>
        <w:t>6 cases involved difficult</w:t>
      </w:r>
      <w:r>
        <w:rPr>
          <w:rFonts w:ascii="Times New Roman" w:eastAsia="Times New Roman" w:hAnsi="Times New Roman" w:cs="Times New Roman"/>
          <w:sz w:val="24"/>
          <w:szCs w:val="24"/>
        </w:rPr>
        <w:t xml:space="preserve">y in locating a </w:t>
      </w:r>
      <w:r w:rsidRPr="00AA0268">
        <w:rPr>
          <w:rFonts w:ascii="Times New Roman" w:eastAsia="Times New Roman" w:hAnsi="Times New Roman" w:cs="Times New Roman"/>
          <w:sz w:val="24"/>
          <w:szCs w:val="24"/>
        </w:rPr>
        <w:t>DOF polic</w:t>
      </w:r>
      <w:r>
        <w:rPr>
          <w:rFonts w:ascii="Times New Roman" w:eastAsia="Times New Roman" w:hAnsi="Times New Roman" w:cs="Times New Roman"/>
          <w:sz w:val="24"/>
          <w:szCs w:val="24"/>
        </w:rPr>
        <w:t>y</w:t>
      </w:r>
      <w:r w:rsidRPr="00AA0268">
        <w:rPr>
          <w:rFonts w:ascii="Times New Roman" w:eastAsia="Times New Roman" w:hAnsi="Times New Roman" w:cs="Times New Roman"/>
          <w:sz w:val="24"/>
          <w:szCs w:val="24"/>
        </w:rPr>
        <w:t xml:space="preserve"> or procedure on the DOF website</w:t>
      </w:r>
      <w:r>
        <w:rPr>
          <w:rFonts w:ascii="Times New Roman" w:eastAsia="Times New Roman" w:hAnsi="Times New Roman" w:cs="Times New Roman"/>
          <w:sz w:val="24"/>
          <w:szCs w:val="24"/>
        </w:rPr>
        <w:t>,</w:t>
      </w:r>
      <w:r w:rsidRPr="00AA0268">
        <w:rPr>
          <w:rFonts w:ascii="Times New Roman" w:eastAsia="Times New Roman" w:hAnsi="Times New Roman" w:cs="Times New Roman"/>
          <w:sz w:val="24"/>
          <w:szCs w:val="24"/>
        </w:rPr>
        <w:t xml:space="preserve"> or in other public places.</w:t>
      </w:r>
    </w:p>
    <w:p w:rsidR="00644844" w:rsidRPr="00AA0268" w:rsidRDefault="00644844" w:rsidP="00644844">
      <w:pPr>
        <w:pStyle w:val="ListParagraph"/>
        <w:numPr>
          <w:ilvl w:val="1"/>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AA026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A0268">
        <w:rPr>
          <w:rFonts w:ascii="Times New Roman" w:eastAsia="Times New Roman" w:hAnsi="Times New Roman" w:cs="Times New Roman"/>
          <w:sz w:val="24"/>
          <w:szCs w:val="24"/>
        </w:rPr>
        <w:t xml:space="preserve">case </w:t>
      </w:r>
      <w:r>
        <w:rPr>
          <w:rFonts w:ascii="Times New Roman" w:eastAsia="Times New Roman" w:hAnsi="Times New Roman" w:cs="Times New Roman"/>
          <w:sz w:val="24"/>
          <w:szCs w:val="24"/>
        </w:rPr>
        <w:t xml:space="preserve">related to </w:t>
      </w:r>
      <w:r w:rsidRPr="00AA0268">
        <w:rPr>
          <w:rFonts w:ascii="Times New Roman" w:eastAsia="Times New Roman" w:hAnsi="Times New Roman" w:cs="Times New Roman"/>
          <w:sz w:val="24"/>
          <w:szCs w:val="24"/>
        </w:rPr>
        <w:t>property ownership error or dispute that was non-fraudulent.</w:t>
      </w:r>
    </w:p>
    <w:p w:rsidR="00AA0268" w:rsidRPr="00644844" w:rsidRDefault="00644844" w:rsidP="00644844">
      <w:pPr>
        <w:pStyle w:val="ListParagraph"/>
        <w:numPr>
          <w:ilvl w:val="1"/>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AA0268">
        <w:rPr>
          <w:rFonts w:ascii="Times New Roman" w:eastAsia="Times New Roman" w:hAnsi="Times New Roman" w:cs="Times New Roman"/>
          <w:sz w:val="24"/>
          <w:szCs w:val="24"/>
        </w:rPr>
        <w:t>1 case</w:t>
      </w:r>
      <w:r>
        <w:rPr>
          <w:rFonts w:ascii="Times New Roman" w:eastAsia="Times New Roman" w:hAnsi="Times New Roman" w:cs="Times New Roman"/>
          <w:sz w:val="24"/>
          <w:szCs w:val="24"/>
        </w:rPr>
        <w:t xml:space="preserve"> related to a taxpayers inability to </w:t>
      </w:r>
      <w:r w:rsidRPr="00AA0268">
        <w:rPr>
          <w:rFonts w:ascii="Times New Roman" w:eastAsia="Times New Roman" w:hAnsi="Times New Roman" w:cs="Times New Roman"/>
          <w:sz w:val="24"/>
          <w:szCs w:val="24"/>
        </w:rPr>
        <w:t>accessib</w:t>
      </w:r>
      <w:r>
        <w:rPr>
          <w:rFonts w:ascii="Times New Roman" w:eastAsia="Times New Roman" w:hAnsi="Times New Roman" w:cs="Times New Roman"/>
          <w:sz w:val="24"/>
          <w:szCs w:val="24"/>
        </w:rPr>
        <w:t>le</w:t>
      </w:r>
      <w:r w:rsidRPr="00AA0268">
        <w:rPr>
          <w:rFonts w:ascii="Times New Roman" w:eastAsia="Times New Roman" w:hAnsi="Times New Roman" w:cs="Times New Roman"/>
          <w:sz w:val="24"/>
          <w:szCs w:val="24"/>
        </w:rPr>
        <w:t xml:space="preserve"> or searchable legal advice</w:t>
      </w:r>
      <w:r>
        <w:rPr>
          <w:rFonts w:ascii="Times New Roman" w:eastAsia="Times New Roman" w:hAnsi="Times New Roman" w:cs="Times New Roman"/>
          <w:sz w:val="24"/>
          <w:szCs w:val="24"/>
        </w:rPr>
        <w:t>.</w:t>
      </w:r>
      <w:r w:rsidRPr="00AA0268">
        <w:rPr>
          <w:rFonts w:ascii="Times New Roman" w:eastAsia="Times New Roman" w:hAnsi="Times New Roman" w:cs="Times New Roman"/>
          <w:sz w:val="24"/>
          <w:szCs w:val="24"/>
        </w:rPr>
        <w:t xml:space="preserve"> </w:t>
      </w:r>
    </w:p>
    <w:p w:rsidR="00644844" w:rsidRPr="00644844" w:rsidRDefault="00644844" w:rsidP="00644844">
      <w:pPr>
        <w:pStyle w:val="ListParagraph"/>
        <w:numPr>
          <w:ilvl w:val="0"/>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AA0268">
        <w:rPr>
          <w:rFonts w:ascii="Times New Roman" w:eastAsia="Times New Roman" w:hAnsi="Times New Roman" w:cs="Times New Roman"/>
          <w:sz w:val="24"/>
          <w:szCs w:val="24"/>
        </w:rPr>
        <w:t xml:space="preserve">Thirty-three (33) taxpayers </w:t>
      </w:r>
      <w:r w:rsidR="000B3247">
        <w:rPr>
          <w:rFonts w:ascii="Times New Roman" w:eastAsia="Times New Roman" w:hAnsi="Times New Roman" w:cs="Times New Roman"/>
          <w:sz w:val="24"/>
          <w:szCs w:val="24"/>
        </w:rPr>
        <w:t xml:space="preserve">(10.82%) </w:t>
      </w:r>
      <w:r w:rsidRPr="00AA0268">
        <w:rPr>
          <w:rFonts w:ascii="Times New Roman" w:eastAsia="Times New Roman" w:hAnsi="Times New Roman" w:cs="Times New Roman"/>
          <w:sz w:val="24"/>
          <w:szCs w:val="24"/>
        </w:rPr>
        <w:t xml:space="preserve">complained that DOF employees were not responsive or unhelpful, and/or that 311 was </w:t>
      </w:r>
      <w:r>
        <w:rPr>
          <w:rFonts w:ascii="Times New Roman" w:eastAsia="Times New Roman" w:hAnsi="Times New Roman" w:cs="Times New Roman"/>
          <w:sz w:val="24"/>
          <w:szCs w:val="24"/>
        </w:rPr>
        <w:t xml:space="preserve">unable to assist them with their issue. </w:t>
      </w:r>
    </w:p>
    <w:p w:rsidR="00644844" w:rsidRPr="00644844" w:rsidRDefault="00644844" w:rsidP="00644844">
      <w:pPr>
        <w:pStyle w:val="ListParagraph"/>
        <w:numPr>
          <w:ilvl w:val="0"/>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BD379C">
        <w:rPr>
          <w:rFonts w:ascii="Times New Roman" w:eastAsia="Times New Roman" w:hAnsi="Times New Roman" w:cs="Times New Roman"/>
          <w:sz w:val="24"/>
          <w:szCs w:val="24"/>
        </w:rPr>
        <w:t xml:space="preserve">Fifteen (15) taxpayers </w:t>
      </w:r>
      <w:r>
        <w:rPr>
          <w:rFonts w:ascii="Times New Roman" w:eastAsia="Times New Roman" w:hAnsi="Times New Roman" w:cs="Times New Roman"/>
          <w:sz w:val="24"/>
          <w:szCs w:val="24"/>
        </w:rPr>
        <w:t xml:space="preserve">contacted </w:t>
      </w:r>
      <w:r w:rsidRPr="00BD379C">
        <w:rPr>
          <w:rFonts w:ascii="Times New Roman" w:eastAsia="Times New Roman" w:hAnsi="Times New Roman" w:cs="Times New Roman"/>
          <w:sz w:val="24"/>
          <w:szCs w:val="24"/>
        </w:rPr>
        <w:t xml:space="preserve">OTA </w:t>
      </w:r>
      <w:r>
        <w:rPr>
          <w:rFonts w:ascii="Times New Roman" w:eastAsia="Times New Roman" w:hAnsi="Times New Roman" w:cs="Times New Roman"/>
          <w:sz w:val="24"/>
          <w:szCs w:val="24"/>
        </w:rPr>
        <w:t>due to</w:t>
      </w:r>
      <w:r w:rsidRPr="00BD379C">
        <w:rPr>
          <w:rFonts w:ascii="Times New Roman" w:eastAsia="Times New Roman" w:hAnsi="Times New Roman" w:cs="Times New Roman"/>
          <w:sz w:val="24"/>
          <w:szCs w:val="24"/>
        </w:rPr>
        <w:t xml:space="preserve"> misapplied</w:t>
      </w:r>
      <w:r>
        <w:rPr>
          <w:rFonts w:ascii="Times New Roman" w:eastAsia="Times New Roman" w:hAnsi="Times New Roman" w:cs="Times New Roman"/>
          <w:sz w:val="24"/>
          <w:szCs w:val="24"/>
        </w:rPr>
        <w:t xml:space="preserve"> payments, broken down as follows:</w:t>
      </w:r>
    </w:p>
    <w:p w:rsidR="00644844" w:rsidRPr="00BD379C" w:rsidRDefault="00644844" w:rsidP="00644844">
      <w:pPr>
        <w:pStyle w:val="ListParagraph"/>
        <w:numPr>
          <w:ilvl w:val="1"/>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BD379C">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 xml:space="preserve">taxpayers alleged </w:t>
      </w:r>
      <w:r w:rsidRPr="00BD379C">
        <w:rPr>
          <w:rFonts w:ascii="Times New Roman" w:eastAsia="Times New Roman" w:hAnsi="Times New Roman" w:cs="Times New Roman"/>
          <w:sz w:val="24"/>
          <w:szCs w:val="24"/>
        </w:rPr>
        <w:t>misapplication due to DOF error.</w:t>
      </w:r>
    </w:p>
    <w:p w:rsidR="00644844" w:rsidRPr="00BD379C" w:rsidRDefault="00644844" w:rsidP="00644844">
      <w:pPr>
        <w:pStyle w:val="ListParagraph"/>
        <w:numPr>
          <w:ilvl w:val="1"/>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BD379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taxpayers alleged misapplication </w:t>
      </w:r>
      <w:r w:rsidRPr="00BD379C">
        <w:rPr>
          <w:rFonts w:ascii="Times New Roman" w:eastAsia="Times New Roman" w:hAnsi="Times New Roman" w:cs="Times New Roman"/>
          <w:sz w:val="24"/>
          <w:szCs w:val="24"/>
        </w:rPr>
        <w:t>due to taxpayer</w:t>
      </w:r>
      <w:r>
        <w:rPr>
          <w:rFonts w:ascii="Times New Roman" w:eastAsia="Times New Roman" w:hAnsi="Times New Roman" w:cs="Times New Roman"/>
          <w:sz w:val="24"/>
          <w:szCs w:val="24"/>
        </w:rPr>
        <w:t xml:space="preserve"> error.</w:t>
      </w:r>
    </w:p>
    <w:p w:rsidR="00644844" w:rsidRDefault="00644844" w:rsidP="00644844">
      <w:pPr>
        <w:pStyle w:val="ListParagraph"/>
        <w:numPr>
          <w:ilvl w:val="1"/>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4D36AA">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taxpayers alleged misapplication due to </w:t>
      </w:r>
      <w:r w:rsidRPr="004D36AA">
        <w:rPr>
          <w:rFonts w:ascii="Times New Roman" w:eastAsia="Times New Roman" w:hAnsi="Times New Roman" w:cs="Times New Roman"/>
          <w:sz w:val="24"/>
          <w:szCs w:val="24"/>
        </w:rPr>
        <w:t>third party</w:t>
      </w:r>
      <w:r>
        <w:rPr>
          <w:rFonts w:ascii="Times New Roman" w:eastAsia="Times New Roman" w:hAnsi="Times New Roman" w:cs="Times New Roman"/>
          <w:sz w:val="24"/>
          <w:szCs w:val="24"/>
        </w:rPr>
        <w:t xml:space="preserve"> error. </w:t>
      </w:r>
    </w:p>
    <w:p w:rsidR="00644844" w:rsidRPr="00644844" w:rsidRDefault="00644844" w:rsidP="00644844">
      <w:pPr>
        <w:pStyle w:val="ListParagraph"/>
        <w:numPr>
          <w:ilvl w:val="0"/>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4D36AA">
        <w:rPr>
          <w:rFonts w:ascii="Times New Roman" w:eastAsia="Times New Roman" w:hAnsi="Times New Roman" w:cs="Times New Roman"/>
          <w:sz w:val="24"/>
          <w:szCs w:val="24"/>
        </w:rPr>
        <w:t>12 taxpayers complained that they received inconsistent advice or action by DOF employees on similar issues.</w:t>
      </w:r>
    </w:p>
    <w:p w:rsidR="00644844" w:rsidRPr="00644844" w:rsidRDefault="00644844" w:rsidP="00644844">
      <w:pPr>
        <w:pStyle w:val="ListParagraph"/>
        <w:numPr>
          <w:ilvl w:val="0"/>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103587">
        <w:rPr>
          <w:rFonts w:ascii="Times New Roman" w:eastAsia="Times New Roman" w:hAnsi="Times New Roman" w:cs="Times New Roman"/>
          <w:sz w:val="24"/>
          <w:szCs w:val="24"/>
        </w:rPr>
        <w:t>8 matters related to questions as to how DOF assessed or abated penalties</w:t>
      </w:r>
    </w:p>
    <w:p w:rsidR="00644844" w:rsidRDefault="00644844" w:rsidP="00644844">
      <w:pPr>
        <w:pStyle w:val="ListParagraph"/>
        <w:numPr>
          <w:ilvl w:val="0"/>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8 t</w:t>
      </w:r>
      <w:r w:rsidRPr="004D36AA">
        <w:rPr>
          <w:rFonts w:ascii="Times New Roman" w:eastAsia="Times New Roman" w:hAnsi="Times New Roman" w:cs="Times New Roman"/>
          <w:sz w:val="24"/>
          <w:szCs w:val="24"/>
        </w:rPr>
        <w:t>axpayers did not get important notices about charges because DOF had incorrect mailing addresses</w:t>
      </w:r>
      <w:r>
        <w:rPr>
          <w:rFonts w:ascii="Times New Roman" w:eastAsia="Times New Roman" w:hAnsi="Times New Roman" w:cs="Times New Roman"/>
          <w:sz w:val="24"/>
          <w:szCs w:val="24"/>
        </w:rPr>
        <w:t>.</w:t>
      </w:r>
    </w:p>
    <w:bookmarkEnd w:id="3"/>
    <w:p w:rsidR="00644844" w:rsidRPr="004D36AA" w:rsidRDefault="00644844" w:rsidP="00644844">
      <w:pPr>
        <w:pStyle w:val="ListParagraph"/>
        <w:numPr>
          <w:ilvl w:val="1"/>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4D36AA">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matters</w:t>
      </w:r>
      <w:r w:rsidRPr="004D36AA">
        <w:rPr>
          <w:rFonts w:ascii="Times New Roman" w:eastAsia="Times New Roman" w:hAnsi="Times New Roman" w:cs="Times New Roman"/>
          <w:sz w:val="24"/>
          <w:szCs w:val="24"/>
        </w:rPr>
        <w:t xml:space="preserve"> involved DOF errors that caused the bad address.</w:t>
      </w:r>
    </w:p>
    <w:p w:rsidR="00644844" w:rsidRDefault="00644844" w:rsidP="00644844">
      <w:pPr>
        <w:pStyle w:val="ListParagraph"/>
        <w:numPr>
          <w:ilvl w:val="1"/>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4D36A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matters </w:t>
      </w:r>
      <w:r w:rsidRPr="004D36AA">
        <w:rPr>
          <w:rFonts w:ascii="Times New Roman" w:eastAsia="Times New Roman" w:hAnsi="Times New Roman" w:cs="Times New Roman"/>
          <w:sz w:val="24"/>
          <w:szCs w:val="24"/>
        </w:rPr>
        <w:t>involved errors by third parties</w:t>
      </w:r>
      <w:r>
        <w:rPr>
          <w:rFonts w:ascii="Times New Roman" w:eastAsia="Times New Roman" w:hAnsi="Times New Roman" w:cs="Times New Roman"/>
          <w:sz w:val="24"/>
          <w:szCs w:val="24"/>
        </w:rPr>
        <w:t>.</w:t>
      </w:r>
      <w:r w:rsidRPr="004D36AA">
        <w:rPr>
          <w:rFonts w:ascii="Times New Roman" w:eastAsia="Times New Roman" w:hAnsi="Times New Roman" w:cs="Times New Roman"/>
          <w:sz w:val="24"/>
          <w:szCs w:val="24"/>
        </w:rPr>
        <w:t xml:space="preserve"> </w:t>
      </w:r>
    </w:p>
    <w:p w:rsidR="00644844" w:rsidRPr="004D36AA" w:rsidRDefault="00644844" w:rsidP="00644844">
      <w:pPr>
        <w:pStyle w:val="ListParagraph"/>
        <w:numPr>
          <w:ilvl w:val="0"/>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OTA</w:t>
      </w:r>
      <w:r w:rsidRPr="006302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had 1 request </w:t>
      </w:r>
      <w:r w:rsidRPr="0063025B">
        <w:rPr>
          <w:rFonts w:ascii="Times New Roman" w:eastAsia="Times New Roman" w:hAnsi="Times New Roman" w:cs="Times New Roman"/>
          <w:sz w:val="24"/>
          <w:szCs w:val="24"/>
        </w:rPr>
        <w:t xml:space="preserve">for assistance </w:t>
      </w:r>
      <w:r>
        <w:rPr>
          <w:rFonts w:ascii="Times New Roman" w:eastAsia="Times New Roman" w:hAnsi="Times New Roman" w:cs="Times New Roman"/>
          <w:sz w:val="24"/>
          <w:szCs w:val="24"/>
        </w:rPr>
        <w:t xml:space="preserve">related to </w:t>
      </w:r>
      <w:r w:rsidR="00330F19">
        <w:rPr>
          <w:rFonts w:ascii="Times New Roman" w:eastAsia="Times New Roman" w:hAnsi="Times New Roman" w:cs="Times New Roman"/>
          <w:sz w:val="24"/>
          <w:szCs w:val="24"/>
        </w:rPr>
        <w:t xml:space="preserve">potential deed fraud that was referred </w:t>
      </w:r>
      <w:r w:rsidR="000B3247">
        <w:rPr>
          <w:rFonts w:ascii="Times New Roman" w:eastAsia="Times New Roman" w:hAnsi="Times New Roman" w:cs="Times New Roman"/>
          <w:sz w:val="24"/>
          <w:szCs w:val="24"/>
        </w:rPr>
        <w:t>from</w:t>
      </w:r>
      <w:r w:rsidR="00330F19">
        <w:rPr>
          <w:rFonts w:ascii="Times New Roman" w:eastAsia="Times New Roman" w:hAnsi="Times New Roman" w:cs="Times New Roman"/>
          <w:sz w:val="24"/>
          <w:szCs w:val="24"/>
        </w:rPr>
        <w:t xml:space="preserve"> the Sheriff’s office.</w:t>
      </w:r>
    </w:p>
    <w:p w:rsidR="00956C5A" w:rsidRDefault="00956C5A" w:rsidP="009C0E90">
      <w:pPr>
        <w:pStyle w:val="ListParagraph"/>
        <w:keepNext/>
        <w:numPr>
          <w:ilvl w:val="0"/>
          <w:numId w:val="1"/>
        </w:numPr>
        <w:shd w:val="clear" w:color="auto" w:fill="FFFFFF"/>
        <w:spacing w:before="100" w:beforeAutospacing="1" w:after="100" w:afterAutospacing="1" w:line="300" w:lineRule="atLeast"/>
        <w:rPr>
          <w:rFonts w:ascii="Times New Roman" w:eastAsia="Times New Roman" w:hAnsi="Times New Roman" w:cs="Times New Roman"/>
          <w:b/>
          <w:i/>
          <w:sz w:val="24"/>
          <w:szCs w:val="24"/>
        </w:rPr>
      </w:pPr>
      <w:r w:rsidRPr="00FB16A0">
        <w:rPr>
          <w:rFonts w:ascii="Times New Roman" w:eastAsia="Times New Roman" w:hAnsi="Times New Roman" w:cs="Times New Roman"/>
          <w:b/>
          <w:i/>
          <w:sz w:val="24"/>
          <w:szCs w:val="24"/>
        </w:rPr>
        <w:lastRenderedPageBreak/>
        <w:t>Property Tax Inquiries and Cases</w:t>
      </w:r>
      <w:r w:rsidR="00BC0771" w:rsidRPr="00FB16A0">
        <w:rPr>
          <w:rFonts w:ascii="Times New Roman" w:eastAsia="Times New Roman" w:hAnsi="Times New Roman" w:cs="Times New Roman"/>
          <w:b/>
          <w:i/>
          <w:sz w:val="24"/>
          <w:szCs w:val="24"/>
        </w:rPr>
        <w:t xml:space="preserve"> </w:t>
      </w:r>
      <w:r w:rsidR="003433DB" w:rsidRPr="00FB16A0">
        <w:rPr>
          <w:rFonts w:ascii="Times New Roman" w:eastAsia="Times New Roman" w:hAnsi="Times New Roman" w:cs="Times New Roman"/>
          <w:b/>
          <w:i/>
          <w:sz w:val="24"/>
          <w:szCs w:val="24"/>
        </w:rPr>
        <w:t>by</w:t>
      </w:r>
      <w:r w:rsidRPr="00FB16A0">
        <w:rPr>
          <w:rFonts w:ascii="Times New Roman" w:eastAsia="Times New Roman" w:hAnsi="Times New Roman" w:cs="Times New Roman"/>
          <w:b/>
          <w:i/>
          <w:sz w:val="24"/>
          <w:szCs w:val="24"/>
        </w:rPr>
        <w:t xml:space="preserve"> </w:t>
      </w:r>
      <w:r w:rsidR="00B66B55" w:rsidRPr="00FB16A0">
        <w:rPr>
          <w:rFonts w:ascii="Times New Roman" w:eastAsia="Times New Roman" w:hAnsi="Times New Roman" w:cs="Times New Roman"/>
          <w:b/>
          <w:i/>
          <w:sz w:val="24"/>
          <w:szCs w:val="24"/>
        </w:rPr>
        <w:t>S</w:t>
      </w:r>
      <w:r w:rsidRPr="00FB16A0">
        <w:rPr>
          <w:rFonts w:ascii="Times New Roman" w:eastAsia="Times New Roman" w:hAnsi="Times New Roman" w:cs="Times New Roman"/>
          <w:b/>
          <w:i/>
          <w:sz w:val="24"/>
          <w:szCs w:val="24"/>
        </w:rPr>
        <w:t>ubcategories</w:t>
      </w:r>
      <w:r w:rsidRPr="00FB16A0">
        <w:rPr>
          <w:rStyle w:val="FootnoteReference"/>
          <w:rFonts w:ascii="Times New Roman" w:eastAsia="Times New Roman" w:hAnsi="Times New Roman" w:cs="Times New Roman"/>
          <w:b/>
          <w:i/>
          <w:sz w:val="24"/>
          <w:szCs w:val="24"/>
        </w:rPr>
        <w:footnoteReference w:id="6"/>
      </w:r>
    </w:p>
    <w:p w:rsidR="00644844" w:rsidRPr="00644844" w:rsidRDefault="00644844" w:rsidP="00644844">
      <w:pPr>
        <w:keepNext/>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644844">
        <w:rPr>
          <w:rFonts w:ascii="Times New Roman" w:eastAsia="Times New Roman" w:hAnsi="Times New Roman" w:cs="Times New Roman"/>
          <w:sz w:val="24"/>
          <w:szCs w:val="24"/>
        </w:rPr>
        <w:t>The following chart shows a breakdown of Property Tax inquir</w:t>
      </w:r>
      <w:r w:rsidR="00D91E0C">
        <w:rPr>
          <w:rFonts w:ascii="Times New Roman" w:eastAsia="Times New Roman" w:hAnsi="Times New Roman" w:cs="Times New Roman"/>
          <w:sz w:val="24"/>
          <w:szCs w:val="24"/>
        </w:rPr>
        <w:t>ies and cases by sub</w:t>
      </w:r>
      <w:r>
        <w:rPr>
          <w:rFonts w:ascii="Times New Roman" w:eastAsia="Times New Roman" w:hAnsi="Times New Roman" w:cs="Times New Roman"/>
          <w:sz w:val="24"/>
          <w:szCs w:val="24"/>
        </w:rPr>
        <w:t xml:space="preserve">category. </w:t>
      </w:r>
      <w:r w:rsidRPr="00644844">
        <w:rPr>
          <w:rFonts w:ascii="Times New Roman" w:eastAsia="Times New Roman" w:hAnsi="Times New Roman" w:cs="Times New Roman"/>
          <w:sz w:val="24"/>
          <w:szCs w:val="24"/>
        </w:rPr>
        <w:t>Of the 675 property tax cases and inquiries that OTA handled</w:t>
      </w:r>
      <w:r w:rsidR="00F5794C">
        <w:rPr>
          <w:rFonts w:ascii="Times New Roman" w:eastAsia="Times New Roman" w:hAnsi="Times New Roman" w:cs="Times New Roman"/>
          <w:sz w:val="24"/>
          <w:szCs w:val="24"/>
        </w:rPr>
        <w:t xml:space="preserve"> during this reporting period</w:t>
      </w:r>
      <w:r w:rsidRPr="00644844">
        <w:rPr>
          <w:rFonts w:ascii="Times New Roman" w:eastAsia="Times New Roman" w:hAnsi="Times New Roman" w:cs="Times New Roman"/>
          <w:sz w:val="24"/>
          <w:szCs w:val="24"/>
        </w:rPr>
        <w:t>, 321 involved abatements or personal exemption</w:t>
      </w:r>
      <w:r>
        <w:rPr>
          <w:rFonts w:ascii="Times New Roman" w:eastAsia="Times New Roman" w:hAnsi="Times New Roman" w:cs="Times New Roman"/>
          <w:sz w:val="24"/>
          <w:szCs w:val="24"/>
        </w:rPr>
        <w:t>s.</w:t>
      </w:r>
      <w:r w:rsidRPr="00644844">
        <w:rPr>
          <w:rFonts w:ascii="Times New Roman" w:eastAsia="Times New Roman" w:hAnsi="Times New Roman" w:cs="Times New Roman"/>
          <w:sz w:val="24"/>
          <w:szCs w:val="24"/>
        </w:rPr>
        <w:t xml:space="preserve"> An additional 106 involved questions or disputes regarding Assessed or Market Value; 70 involved disputes over how payments were applied or processed; 35 involved lien sales; 30 involved issues with how DOF recorded property; and 18 involved disputes over DOF assigned </w:t>
      </w:r>
      <w:r w:rsidR="00F5794C">
        <w:rPr>
          <w:rFonts w:ascii="Times New Roman" w:eastAsia="Times New Roman" w:hAnsi="Times New Roman" w:cs="Times New Roman"/>
          <w:sz w:val="24"/>
          <w:szCs w:val="24"/>
        </w:rPr>
        <w:t xml:space="preserve">property </w:t>
      </w:r>
      <w:r w:rsidRPr="00644844">
        <w:rPr>
          <w:rFonts w:ascii="Times New Roman" w:eastAsia="Times New Roman" w:hAnsi="Times New Roman" w:cs="Times New Roman"/>
          <w:sz w:val="24"/>
          <w:szCs w:val="24"/>
        </w:rPr>
        <w:t>classification.</w:t>
      </w:r>
    </w:p>
    <w:p w:rsidR="00CF4337" w:rsidRPr="00FB16A0" w:rsidRDefault="007F6E9F" w:rsidP="0096372F">
      <w:pPr>
        <w:jc w:val="center"/>
        <w:rPr>
          <w:rFonts w:ascii="Times New Roman" w:hAnsi="Times New Roman" w:cs="Times New Roman"/>
          <w:noProof/>
          <w:sz w:val="24"/>
          <w:szCs w:val="24"/>
        </w:rPr>
      </w:pPr>
      <w:r w:rsidRPr="00FB16A0">
        <w:rPr>
          <w:rFonts w:ascii="Times New Roman" w:hAnsi="Times New Roman" w:cs="Times New Roman"/>
          <w:noProof/>
          <w:sz w:val="24"/>
          <w:szCs w:val="24"/>
        </w:rPr>
        <w:drawing>
          <wp:inline distT="0" distB="0" distL="0" distR="0" wp14:anchorId="50F5B9BE" wp14:editId="7DE39798">
            <wp:extent cx="5943600" cy="3844290"/>
            <wp:effectExtent l="0" t="0" r="19050" b="228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A6C89" w:rsidRPr="00014781" w:rsidRDefault="0040692D" w:rsidP="009C0E90">
      <w:pPr>
        <w:pStyle w:val="ListParagraph"/>
        <w:keepNext/>
        <w:numPr>
          <w:ilvl w:val="0"/>
          <w:numId w:val="1"/>
        </w:numPr>
        <w:shd w:val="clear" w:color="auto" w:fill="FFFFFF"/>
        <w:spacing w:before="100" w:beforeAutospacing="1" w:after="100" w:afterAutospacing="1" w:line="300" w:lineRule="atLeast"/>
        <w:rPr>
          <w:rFonts w:ascii="Times New Roman" w:hAnsi="Times New Roman" w:cs="Times New Roman"/>
          <w:b/>
          <w:i/>
          <w:noProof/>
          <w:sz w:val="24"/>
          <w:szCs w:val="24"/>
        </w:rPr>
      </w:pPr>
      <w:r w:rsidRPr="00FB16A0">
        <w:rPr>
          <w:rFonts w:ascii="Times New Roman" w:eastAsia="Times New Roman" w:hAnsi="Times New Roman" w:cs="Times New Roman"/>
          <w:b/>
          <w:i/>
          <w:sz w:val="24"/>
          <w:szCs w:val="24"/>
        </w:rPr>
        <w:lastRenderedPageBreak/>
        <w:t xml:space="preserve">Property Tax </w:t>
      </w:r>
      <w:r w:rsidR="00C05A48" w:rsidRPr="00FB16A0">
        <w:rPr>
          <w:rFonts w:ascii="Times New Roman" w:eastAsia="Times New Roman" w:hAnsi="Times New Roman" w:cs="Times New Roman"/>
          <w:b/>
          <w:i/>
          <w:sz w:val="24"/>
          <w:szCs w:val="24"/>
        </w:rPr>
        <w:t xml:space="preserve">Inquiries and </w:t>
      </w:r>
      <w:r w:rsidRPr="00FB16A0">
        <w:rPr>
          <w:rFonts w:ascii="Times New Roman" w:eastAsia="Times New Roman" w:hAnsi="Times New Roman" w:cs="Times New Roman"/>
          <w:b/>
          <w:i/>
          <w:sz w:val="24"/>
          <w:szCs w:val="24"/>
        </w:rPr>
        <w:t>Cases by Borough</w:t>
      </w:r>
      <w:r w:rsidR="0003257B" w:rsidRPr="00FB16A0">
        <w:rPr>
          <w:rFonts w:ascii="Times New Roman" w:eastAsia="Times New Roman" w:hAnsi="Times New Roman" w:cs="Times New Roman"/>
          <w:b/>
          <w:i/>
          <w:sz w:val="24"/>
          <w:szCs w:val="24"/>
        </w:rPr>
        <w:t xml:space="preserve"> </w:t>
      </w:r>
    </w:p>
    <w:p w:rsidR="00014781" w:rsidRPr="00014781" w:rsidRDefault="00014781" w:rsidP="00014781">
      <w:pPr>
        <w:keepNext/>
        <w:shd w:val="clear" w:color="auto" w:fill="FFFFFF"/>
        <w:spacing w:before="100" w:beforeAutospacing="1" w:after="100" w:afterAutospacing="1" w:line="300" w:lineRule="atLeast"/>
        <w:rPr>
          <w:rFonts w:ascii="Times New Roman" w:hAnsi="Times New Roman" w:cs="Times New Roman"/>
          <w:noProof/>
          <w:sz w:val="24"/>
          <w:szCs w:val="24"/>
        </w:rPr>
      </w:pPr>
      <w:r>
        <w:rPr>
          <w:rFonts w:ascii="Times New Roman" w:hAnsi="Times New Roman" w:cs="Times New Roman"/>
          <w:noProof/>
          <w:sz w:val="24"/>
          <w:szCs w:val="24"/>
        </w:rPr>
        <w:t>Similar to the overall breakdown of tax cases and inquiries by borough, the majority of property tax cases and inquiries came from Queens (219), Brooklyn (186), and Manhattan (166).</w:t>
      </w:r>
    </w:p>
    <w:p w:rsidR="00B052F7" w:rsidRDefault="007F6E9F" w:rsidP="0096372F">
      <w:pPr>
        <w:jc w:val="center"/>
        <w:rPr>
          <w:rFonts w:ascii="Times New Roman" w:hAnsi="Times New Roman" w:cs="Times New Roman"/>
          <w:noProof/>
          <w:sz w:val="24"/>
          <w:szCs w:val="24"/>
        </w:rPr>
      </w:pPr>
      <w:r w:rsidRPr="00FB16A0">
        <w:rPr>
          <w:rFonts w:ascii="Times New Roman" w:hAnsi="Times New Roman" w:cs="Times New Roman"/>
          <w:noProof/>
          <w:sz w:val="24"/>
          <w:szCs w:val="24"/>
        </w:rPr>
        <w:drawing>
          <wp:inline distT="0" distB="0" distL="0" distR="0" wp14:anchorId="19845580" wp14:editId="04D0D09E">
            <wp:extent cx="5943600" cy="28194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14781" w:rsidRDefault="0001478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14781" w:rsidRPr="00283937" w:rsidRDefault="00014781" w:rsidP="00283937">
      <w:pPr>
        <w:pStyle w:val="ListParagraph"/>
        <w:keepNext/>
        <w:numPr>
          <w:ilvl w:val="0"/>
          <w:numId w:val="1"/>
        </w:numPr>
        <w:shd w:val="clear" w:color="auto" w:fill="FFFFFF"/>
        <w:spacing w:before="100" w:beforeAutospacing="1" w:after="100" w:afterAutospacing="1" w:line="300" w:lineRule="atLeast"/>
        <w:rPr>
          <w:rFonts w:ascii="Times New Roman" w:eastAsia="Times New Roman" w:hAnsi="Times New Roman" w:cs="Times New Roman"/>
          <w:b/>
          <w:i/>
          <w:sz w:val="24"/>
          <w:szCs w:val="24"/>
        </w:rPr>
      </w:pPr>
      <w:r w:rsidRPr="00283937">
        <w:rPr>
          <w:rFonts w:ascii="Times New Roman" w:eastAsia="Times New Roman" w:hAnsi="Times New Roman" w:cs="Times New Roman"/>
          <w:b/>
          <w:i/>
          <w:sz w:val="24"/>
          <w:szCs w:val="24"/>
        </w:rPr>
        <w:lastRenderedPageBreak/>
        <w:t>Property Tax Cases by City Council District</w:t>
      </w:r>
      <w:r w:rsidRPr="00283937">
        <w:rPr>
          <w:rStyle w:val="FootnoteReference"/>
          <w:rFonts w:ascii="Times New Roman" w:eastAsia="Times New Roman" w:hAnsi="Times New Roman" w:cs="Times New Roman"/>
          <w:b/>
          <w:i/>
          <w:sz w:val="24"/>
          <w:szCs w:val="24"/>
        </w:rPr>
        <w:footnoteReference w:id="7"/>
      </w:r>
    </w:p>
    <w:p w:rsidR="00014781" w:rsidRPr="00014781" w:rsidRDefault="0058378A" w:rsidP="00014781">
      <w:pPr>
        <w:keepNext/>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OTA handled property tax cases resulting in refunds or abatements for property owners in 30 of the City’s 51 Council districts. The refund and abatement amounts by district are listed below:</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685"/>
        <w:gridCol w:w="1825"/>
        <w:gridCol w:w="1980"/>
        <w:gridCol w:w="2358"/>
      </w:tblGrid>
      <w:tr w:rsidR="00014781" w:rsidRPr="00FB16A0" w:rsidTr="00014781">
        <w:trPr>
          <w:trHeight w:val="176"/>
          <w:tblHeader/>
        </w:trPr>
        <w:tc>
          <w:tcPr>
            <w:tcW w:w="1635" w:type="dxa"/>
            <w:shd w:val="clear" w:color="DCE6F1" w:fill="DCE6F1"/>
            <w:noWrap/>
            <w:vAlign w:val="bottom"/>
            <w:hideMark/>
          </w:tcPr>
          <w:p w:rsidR="00014781" w:rsidRPr="00FB16A0" w:rsidRDefault="00014781" w:rsidP="00014781">
            <w:pPr>
              <w:spacing w:after="0" w:line="240" w:lineRule="auto"/>
              <w:jc w:val="center"/>
              <w:rPr>
                <w:rFonts w:ascii="Times New Roman" w:eastAsia="Times New Roman" w:hAnsi="Times New Roman" w:cs="Times New Roman"/>
                <w:b/>
                <w:bCs/>
                <w:sz w:val="24"/>
                <w:szCs w:val="24"/>
              </w:rPr>
            </w:pPr>
            <w:r w:rsidRPr="00FB16A0">
              <w:rPr>
                <w:rFonts w:ascii="Times New Roman" w:eastAsia="Times New Roman" w:hAnsi="Times New Roman" w:cs="Times New Roman"/>
                <w:b/>
                <w:bCs/>
                <w:sz w:val="24"/>
                <w:szCs w:val="24"/>
              </w:rPr>
              <w:t>City Council District</w:t>
            </w:r>
          </w:p>
        </w:tc>
        <w:tc>
          <w:tcPr>
            <w:tcW w:w="1685" w:type="dxa"/>
            <w:shd w:val="clear" w:color="DCE6F1" w:fill="DCE6F1"/>
            <w:vAlign w:val="bottom"/>
          </w:tcPr>
          <w:p w:rsidR="00014781" w:rsidRPr="00FB16A0" w:rsidRDefault="00014781" w:rsidP="00014781">
            <w:pPr>
              <w:spacing w:after="0" w:line="240" w:lineRule="auto"/>
              <w:jc w:val="center"/>
              <w:rPr>
                <w:rFonts w:ascii="Times New Roman" w:eastAsia="Times New Roman" w:hAnsi="Times New Roman" w:cs="Times New Roman"/>
                <w:b/>
                <w:bCs/>
                <w:sz w:val="24"/>
                <w:szCs w:val="24"/>
              </w:rPr>
            </w:pPr>
            <w:r w:rsidRPr="00FB16A0">
              <w:rPr>
                <w:rFonts w:ascii="Times New Roman" w:eastAsia="Times New Roman" w:hAnsi="Times New Roman" w:cs="Times New Roman"/>
                <w:b/>
                <w:bCs/>
                <w:sz w:val="24"/>
                <w:szCs w:val="24"/>
              </w:rPr>
              <w:t>Number of Cases</w:t>
            </w:r>
          </w:p>
        </w:tc>
        <w:tc>
          <w:tcPr>
            <w:tcW w:w="1825" w:type="dxa"/>
            <w:shd w:val="clear" w:color="DCE6F1" w:fill="DCE6F1"/>
            <w:noWrap/>
            <w:vAlign w:val="bottom"/>
            <w:hideMark/>
          </w:tcPr>
          <w:p w:rsidR="00014781" w:rsidRPr="00FB16A0" w:rsidRDefault="00014781" w:rsidP="00014781">
            <w:pPr>
              <w:spacing w:after="0" w:line="240" w:lineRule="auto"/>
              <w:jc w:val="center"/>
              <w:rPr>
                <w:rFonts w:ascii="Times New Roman" w:eastAsia="Times New Roman" w:hAnsi="Times New Roman" w:cs="Times New Roman"/>
                <w:b/>
                <w:bCs/>
                <w:sz w:val="24"/>
                <w:szCs w:val="24"/>
              </w:rPr>
            </w:pPr>
            <w:r w:rsidRPr="00FB16A0">
              <w:rPr>
                <w:rFonts w:ascii="Times New Roman" w:eastAsia="Times New Roman" w:hAnsi="Times New Roman" w:cs="Times New Roman"/>
                <w:b/>
                <w:bCs/>
                <w:sz w:val="24"/>
                <w:szCs w:val="24"/>
              </w:rPr>
              <w:t>Total Refund for District</w:t>
            </w:r>
          </w:p>
        </w:tc>
        <w:tc>
          <w:tcPr>
            <w:tcW w:w="1980" w:type="dxa"/>
            <w:shd w:val="clear" w:color="DCE6F1" w:fill="DCE6F1"/>
            <w:noWrap/>
            <w:vAlign w:val="bottom"/>
            <w:hideMark/>
          </w:tcPr>
          <w:p w:rsidR="00014781" w:rsidRPr="00FB16A0" w:rsidRDefault="00014781" w:rsidP="00014781">
            <w:pPr>
              <w:spacing w:after="0" w:line="240" w:lineRule="auto"/>
              <w:jc w:val="center"/>
              <w:rPr>
                <w:rFonts w:ascii="Times New Roman" w:eastAsia="Times New Roman" w:hAnsi="Times New Roman" w:cs="Times New Roman"/>
                <w:b/>
                <w:bCs/>
                <w:sz w:val="24"/>
                <w:szCs w:val="24"/>
              </w:rPr>
            </w:pPr>
            <w:r w:rsidRPr="00FB16A0">
              <w:rPr>
                <w:rFonts w:ascii="Times New Roman" w:eastAsia="Times New Roman" w:hAnsi="Times New Roman" w:cs="Times New Roman"/>
                <w:b/>
                <w:bCs/>
                <w:sz w:val="24"/>
                <w:szCs w:val="24"/>
              </w:rPr>
              <w:t>Total Abatement for District</w:t>
            </w:r>
          </w:p>
        </w:tc>
        <w:tc>
          <w:tcPr>
            <w:tcW w:w="2358" w:type="dxa"/>
            <w:shd w:val="clear" w:color="DCE6F1" w:fill="DCE6F1"/>
          </w:tcPr>
          <w:p w:rsidR="00014781" w:rsidRPr="00FB16A0" w:rsidRDefault="00014781" w:rsidP="00014781">
            <w:pPr>
              <w:spacing w:after="0" w:line="240" w:lineRule="auto"/>
              <w:jc w:val="center"/>
              <w:rPr>
                <w:rFonts w:ascii="Times New Roman" w:eastAsia="Times New Roman" w:hAnsi="Times New Roman" w:cs="Times New Roman"/>
                <w:b/>
                <w:bCs/>
                <w:sz w:val="24"/>
                <w:szCs w:val="24"/>
              </w:rPr>
            </w:pPr>
            <w:r w:rsidRPr="00FB16A0">
              <w:rPr>
                <w:rFonts w:ascii="Times New Roman" w:eastAsia="Times New Roman" w:hAnsi="Times New Roman" w:cs="Times New Roman"/>
                <w:b/>
                <w:bCs/>
                <w:sz w:val="24"/>
                <w:szCs w:val="24"/>
              </w:rPr>
              <w:t xml:space="preserve">Council </w:t>
            </w:r>
            <w:r>
              <w:rPr>
                <w:rFonts w:ascii="Times New Roman" w:eastAsia="Times New Roman" w:hAnsi="Times New Roman" w:cs="Times New Roman"/>
                <w:b/>
                <w:bCs/>
                <w:sz w:val="24"/>
                <w:szCs w:val="24"/>
              </w:rPr>
              <w:br/>
              <w:t>Member</w:t>
            </w:r>
          </w:p>
        </w:tc>
      </w:tr>
      <w:tr w:rsidR="00014781" w:rsidRPr="00FB16A0" w:rsidTr="00014781">
        <w:trPr>
          <w:trHeight w:val="176"/>
        </w:trPr>
        <w:tc>
          <w:tcPr>
            <w:tcW w:w="163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w:t>
            </w:r>
          </w:p>
        </w:tc>
        <w:tc>
          <w:tcPr>
            <w:tcW w:w="1685" w:type="dxa"/>
            <w:vAlign w:val="bottom"/>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23</w:t>
            </w:r>
          </w:p>
        </w:tc>
        <w:tc>
          <w:tcPr>
            <w:tcW w:w="182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$31,124</w:t>
            </w:r>
          </w:p>
        </w:tc>
        <w:tc>
          <w:tcPr>
            <w:tcW w:w="1980"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2358" w:type="dxa"/>
          </w:tcPr>
          <w:p w:rsidR="00014781" w:rsidRPr="00FB16A0" w:rsidRDefault="00014781" w:rsidP="00014781">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 xml:space="preserve">Margaret Chin </w:t>
            </w:r>
          </w:p>
        </w:tc>
      </w:tr>
      <w:tr w:rsidR="00014781" w:rsidRPr="00FB16A0" w:rsidTr="00014781">
        <w:trPr>
          <w:trHeight w:val="176"/>
        </w:trPr>
        <w:tc>
          <w:tcPr>
            <w:tcW w:w="163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w:t>
            </w:r>
          </w:p>
        </w:tc>
        <w:tc>
          <w:tcPr>
            <w:tcW w:w="1685" w:type="dxa"/>
            <w:vAlign w:val="bottom"/>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9</w:t>
            </w:r>
          </w:p>
        </w:tc>
        <w:tc>
          <w:tcPr>
            <w:tcW w:w="182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1980"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$17,107</w:t>
            </w:r>
          </w:p>
        </w:tc>
        <w:tc>
          <w:tcPr>
            <w:tcW w:w="2358" w:type="dxa"/>
          </w:tcPr>
          <w:p w:rsidR="00014781" w:rsidRPr="00FB16A0" w:rsidRDefault="00014781" w:rsidP="00014781">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Rosie Mendez</w:t>
            </w:r>
          </w:p>
        </w:tc>
      </w:tr>
      <w:tr w:rsidR="00014781" w:rsidRPr="00FB16A0" w:rsidTr="00014781">
        <w:trPr>
          <w:trHeight w:val="176"/>
        </w:trPr>
        <w:tc>
          <w:tcPr>
            <w:tcW w:w="163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w:t>
            </w:r>
          </w:p>
        </w:tc>
        <w:tc>
          <w:tcPr>
            <w:tcW w:w="1685" w:type="dxa"/>
            <w:vAlign w:val="bottom"/>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12</w:t>
            </w:r>
          </w:p>
        </w:tc>
        <w:tc>
          <w:tcPr>
            <w:tcW w:w="182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1980"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$2,868</w:t>
            </w:r>
          </w:p>
        </w:tc>
        <w:tc>
          <w:tcPr>
            <w:tcW w:w="2358" w:type="dxa"/>
          </w:tcPr>
          <w:p w:rsidR="00014781" w:rsidRPr="00FB16A0" w:rsidRDefault="00014781" w:rsidP="00014781">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Daniel Garodnick</w:t>
            </w:r>
          </w:p>
        </w:tc>
      </w:tr>
      <w:tr w:rsidR="00014781" w:rsidRPr="00FB16A0" w:rsidTr="00014781">
        <w:trPr>
          <w:trHeight w:val="176"/>
        </w:trPr>
        <w:tc>
          <w:tcPr>
            <w:tcW w:w="163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5</w:t>
            </w:r>
          </w:p>
        </w:tc>
        <w:tc>
          <w:tcPr>
            <w:tcW w:w="1685" w:type="dxa"/>
            <w:vAlign w:val="bottom"/>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11</w:t>
            </w:r>
          </w:p>
        </w:tc>
        <w:tc>
          <w:tcPr>
            <w:tcW w:w="182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$35,745</w:t>
            </w:r>
          </w:p>
        </w:tc>
        <w:tc>
          <w:tcPr>
            <w:tcW w:w="1980"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$17,640</w:t>
            </w:r>
          </w:p>
        </w:tc>
        <w:tc>
          <w:tcPr>
            <w:tcW w:w="2358" w:type="dxa"/>
          </w:tcPr>
          <w:p w:rsidR="00014781" w:rsidRPr="00FB16A0" w:rsidRDefault="00014781" w:rsidP="00014781">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Ben Kallos</w:t>
            </w:r>
          </w:p>
        </w:tc>
      </w:tr>
      <w:tr w:rsidR="00014781" w:rsidRPr="00FB16A0" w:rsidTr="00014781">
        <w:trPr>
          <w:trHeight w:val="176"/>
        </w:trPr>
        <w:tc>
          <w:tcPr>
            <w:tcW w:w="163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6</w:t>
            </w:r>
          </w:p>
        </w:tc>
        <w:tc>
          <w:tcPr>
            <w:tcW w:w="1685" w:type="dxa"/>
            <w:vAlign w:val="bottom"/>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6</w:t>
            </w:r>
          </w:p>
        </w:tc>
        <w:tc>
          <w:tcPr>
            <w:tcW w:w="182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1980"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$17,184</w:t>
            </w:r>
          </w:p>
        </w:tc>
        <w:tc>
          <w:tcPr>
            <w:tcW w:w="2358" w:type="dxa"/>
          </w:tcPr>
          <w:p w:rsidR="00014781" w:rsidRPr="00FB16A0" w:rsidRDefault="00014781" w:rsidP="00014781">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Helen Rosenthal</w:t>
            </w:r>
          </w:p>
        </w:tc>
      </w:tr>
      <w:tr w:rsidR="00014781" w:rsidRPr="00FB16A0" w:rsidTr="00014781">
        <w:trPr>
          <w:trHeight w:val="176"/>
        </w:trPr>
        <w:tc>
          <w:tcPr>
            <w:tcW w:w="163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7</w:t>
            </w:r>
          </w:p>
        </w:tc>
        <w:tc>
          <w:tcPr>
            <w:tcW w:w="1685" w:type="dxa"/>
            <w:vAlign w:val="bottom"/>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w:t>
            </w:r>
          </w:p>
        </w:tc>
        <w:tc>
          <w:tcPr>
            <w:tcW w:w="182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$11,842</w:t>
            </w:r>
          </w:p>
        </w:tc>
        <w:tc>
          <w:tcPr>
            <w:tcW w:w="1980"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2358" w:type="dxa"/>
          </w:tcPr>
          <w:p w:rsidR="00014781" w:rsidRPr="00FB16A0" w:rsidRDefault="00014781" w:rsidP="00014781">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Mark Levine</w:t>
            </w:r>
          </w:p>
        </w:tc>
      </w:tr>
      <w:tr w:rsidR="00014781" w:rsidRPr="00FB16A0" w:rsidTr="00014781">
        <w:trPr>
          <w:trHeight w:val="176"/>
        </w:trPr>
        <w:tc>
          <w:tcPr>
            <w:tcW w:w="163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13</w:t>
            </w:r>
          </w:p>
        </w:tc>
        <w:tc>
          <w:tcPr>
            <w:tcW w:w="1685" w:type="dxa"/>
            <w:vAlign w:val="bottom"/>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7</w:t>
            </w:r>
          </w:p>
        </w:tc>
        <w:tc>
          <w:tcPr>
            <w:tcW w:w="182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$159,584</w:t>
            </w:r>
          </w:p>
        </w:tc>
        <w:tc>
          <w:tcPr>
            <w:tcW w:w="1980"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$848</w:t>
            </w:r>
          </w:p>
        </w:tc>
        <w:tc>
          <w:tcPr>
            <w:tcW w:w="2358" w:type="dxa"/>
          </w:tcPr>
          <w:p w:rsidR="00014781" w:rsidRPr="00FB16A0" w:rsidRDefault="00014781" w:rsidP="00014781">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James Vacca</w:t>
            </w:r>
          </w:p>
        </w:tc>
      </w:tr>
      <w:tr w:rsidR="00014781" w:rsidRPr="00FB16A0" w:rsidTr="00014781">
        <w:trPr>
          <w:trHeight w:val="176"/>
        </w:trPr>
        <w:tc>
          <w:tcPr>
            <w:tcW w:w="163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18</w:t>
            </w:r>
          </w:p>
        </w:tc>
        <w:tc>
          <w:tcPr>
            <w:tcW w:w="1685" w:type="dxa"/>
            <w:vAlign w:val="bottom"/>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w:t>
            </w:r>
          </w:p>
        </w:tc>
        <w:tc>
          <w:tcPr>
            <w:tcW w:w="182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$5,098</w:t>
            </w:r>
          </w:p>
        </w:tc>
        <w:tc>
          <w:tcPr>
            <w:tcW w:w="1980"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$31,374</w:t>
            </w:r>
          </w:p>
        </w:tc>
        <w:tc>
          <w:tcPr>
            <w:tcW w:w="2358" w:type="dxa"/>
          </w:tcPr>
          <w:p w:rsidR="00014781" w:rsidRPr="00FB16A0" w:rsidRDefault="00014781" w:rsidP="00014781">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Annabel Palma</w:t>
            </w:r>
          </w:p>
        </w:tc>
      </w:tr>
      <w:tr w:rsidR="00014781" w:rsidRPr="00FB16A0" w:rsidTr="00014781">
        <w:trPr>
          <w:trHeight w:val="176"/>
        </w:trPr>
        <w:tc>
          <w:tcPr>
            <w:tcW w:w="163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19</w:t>
            </w:r>
          </w:p>
        </w:tc>
        <w:tc>
          <w:tcPr>
            <w:tcW w:w="1685" w:type="dxa"/>
            <w:vAlign w:val="bottom"/>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10</w:t>
            </w:r>
          </w:p>
        </w:tc>
        <w:tc>
          <w:tcPr>
            <w:tcW w:w="182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$46,594</w:t>
            </w:r>
          </w:p>
        </w:tc>
        <w:tc>
          <w:tcPr>
            <w:tcW w:w="1980"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$2,969</w:t>
            </w:r>
          </w:p>
        </w:tc>
        <w:tc>
          <w:tcPr>
            <w:tcW w:w="2358" w:type="dxa"/>
          </w:tcPr>
          <w:p w:rsidR="00014781" w:rsidRPr="00FB16A0" w:rsidRDefault="00014781" w:rsidP="00014781">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Paul Vallone</w:t>
            </w:r>
          </w:p>
        </w:tc>
      </w:tr>
      <w:tr w:rsidR="00014781" w:rsidRPr="00FB16A0" w:rsidTr="00014781">
        <w:trPr>
          <w:trHeight w:val="176"/>
        </w:trPr>
        <w:tc>
          <w:tcPr>
            <w:tcW w:w="163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20</w:t>
            </w:r>
          </w:p>
        </w:tc>
        <w:tc>
          <w:tcPr>
            <w:tcW w:w="1685" w:type="dxa"/>
            <w:vAlign w:val="bottom"/>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w:t>
            </w:r>
          </w:p>
        </w:tc>
        <w:tc>
          <w:tcPr>
            <w:tcW w:w="182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$2,864</w:t>
            </w:r>
          </w:p>
        </w:tc>
        <w:tc>
          <w:tcPr>
            <w:tcW w:w="1980"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$17,444</w:t>
            </w:r>
          </w:p>
        </w:tc>
        <w:tc>
          <w:tcPr>
            <w:tcW w:w="2358" w:type="dxa"/>
          </w:tcPr>
          <w:p w:rsidR="00014781" w:rsidRPr="00FB16A0" w:rsidRDefault="00014781" w:rsidP="00014781">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Peter Koo</w:t>
            </w:r>
          </w:p>
        </w:tc>
      </w:tr>
      <w:tr w:rsidR="00014781" w:rsidRPr="00FB16A0" w:rsidTr="00014781">
        <w:trPr>
          <w:trHeight w:val="176"/>
        </w:trPr>
        <w:tc>
          <w:tcPr>
            <w:tcW w:w="163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22</w:t>
            </w:r>
          </w:p>
        </w:tc>
        <w:tc>
          <w:tcPr>
            <w:tcW w:w="1685" w:type="dxa"/>
            <w:vAlign w:val="bottom"/>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w:t>
            </w:r>
          </w:p>
        </w:tc>
        <w:tc>
          <w:tcPr>
            <w:tcW w:w="182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$330</w:t>
            </w:r>
          </w:p>
        </w:tc>
        <w:tc>
          <w:tcPr>
            <w:tcW w:w="1980"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2358" w:type="dxa"/>
          </w:tcPr>
          <w:p w:rsidR="00014781" w:rsidRPr="00FB16A0" w:rsidRDefault="00014781" w:rsidP="00014781">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Costa Constantinides</w:t>
            </w:r>
          </w:p>
        </w:tc>
      </w:tr>
      <w:tr w:rsidR="00014781" w:rsidRPr="00FB16A0" w:rsidTr="00014781">
        <w:trPr>
          <w:trHeight w:val="176"/>
        </w:trPr>
        <w:tc>
          <w:tcPr>
            <w:tcW w:w="163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23</w:t>
            </w:r>
          </w:p>
        </w:tc>
        <w:tc>
          <w:tcPr>
            <w:tcW w:w="1685" w:type="dxa"/>
            <w:vAlign w:val="bottom"/>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16</w:t>
            </w:r>
          </w:p>
        </w:tc>
        <w:tc>
          <w:tcPr>
            <w:tcW w:w="182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$146,748</w:t>
            </w:r>
          </w:p>
        </w:tc>
        <w:tc>
          <w:tcPr>
            <w:tcW w:w="1980"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$33,261</w:t>
            </w:r>
          </w:p>
        </w:tc>
        <w:tc>
          <w:tcPr>
            <w:tcW w:w="2358" w:type="dxa"/>
          </w:tcPr>
          <w:p w:rsidR="00014781" w:rsidRPr="00FB16A0" w:rsidRDefault="00014781" w:rsidP="00014781">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Barry Grodenchik</w:t>
            </w:r>
          </w:p>
        </w:tc>
      </w:tr>
      <w:tr w:rsidR="00014781" w:rsidRPr="00FB16A0" w:rsidTr="00014781">
        <w:trPr>
          <w:trHeight w:val="176"/>
        </w:trPr>
        <w:tc>
          <w:tcPr>
            <w:tcW w:w="163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25</w:t>
            </w:r>
          </w:p>
        </w:tc>
        <w:tc>
          <w:tcPr>
            <w:tcW w:w="1685" w:type="dxa"/>
            <w:vAlign w:val="bottom"/>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w:t>
            </w:r>
          </w:p>
        </w:tc>
        <w:tc>
          <w:tcPr>
            <w:tcW w:w="182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$383</w:t>
            </w:r>
          </w:p>
        </w:tc>
        <w:tc>
          <w:tcPr>
            <w:tcW w:w="1980"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$580</w:t>
            </w:r>
          </w:p>
        </w:tc>
        <w:tc>
          <w:tcPr>
            <w:tcW w:w="2358" w:type="dxa"/>
          </w:tcPr>
          <w:p w:rsidR="00014781" w:rsidRPr="00FB16A0" w:rsidRDefault="00014781" w:rsidP="00014781">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Daniel Dromm</w:t>
            </w:r>
          </w:p>
        </w:tc>
      </w:tr>
      <w:tr w:rsidR="00014781" w:rsidRPr="00FB16A0" w:rsidTr="00014781">
        <w:trPr>
          <w:trHeight w:val="176"/>
        </w:trPr>
        <w:tc>
          <w:tcPr>
            <w:tcW w:w="163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26</w:t>
            </w:r>
          </w:p>
        </w:tc>
        <w:tc>
          <w:tcPr>
            <w:tcW w:w="1685" w:type="dxa"/>
            <w:vAlign w:val="bottom"/>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w:t>
            </w:r>
          </w:p>
        </w:tc>
        <w:tc>
          <w:tcPr>
            <w:tcW w:w="182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$20,662</w:t>
            </w:r>
          </w:p>
        </w:tc>
        <w:tc>
          <w:tcPr>
            <w:tcW w:w="1980"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2358" w:type="dxa"/>
          </w:tcPr>
          <w:p w:rsidR="00014781" w:rsidRPr="00FB16A0" w:rsidRDefault="00014781" w:rsidP="00014781">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Jimmy Van Bramer</w:t>
            </w:r>
          </w:p>
        </w:tc>
      </w:tr>
      <w:tr w:rsidR="00014781" w:rsidRPr="00FB16A0" w:rsidTr="00014781">
        <w:trPr>
          <w:trHeight w:val="176"/>
        </w:trPr>
        <w:tc>
          <w:tcPr>
            <w:tcW w:w="163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27</w:t>
            </w:r>
          </w:p>
        </w:tc>
        <w:tc>
          <w:tcPr>
            <w:tcW w:w="1685" w:type="dxa"/>
            <w:vAlign w:val="bottom"/>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7</w:t>
            </w:r>
          </w:p>
        </w:tc>
        <w:tc>
          <w:tcPr>
            <w:tcW w:w="182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$4,720</w:t>
            </w:r>
          </w:p>
        </w:tc>
        <w:tc>
          <w:tcPr>
            <w:tcW w:w="1980"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$2,407</w:t>
            </w:r>
          </w:p>
        </w:tc>
        <w:tc>
          <w:tcPr>
            <w:tcW w:w="2358" w:type="dxa"/>
          </w:tcPr>
          <w:p w:rsidR="00014781" w:rsidRPr="00FB16A0" w:rsidRDefault="00014781" w:rsidP="00014781">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I. Daneek Miller</w:t>
            </w:r>
          </w:p>
        </w:tc>
      </w:tr>
      <w:tr w:rsidR="00014781" w:rsidRPr="00FB16A0" w:rsidTr="00014781">
        <w:trPr>
          <w:trHeight w:val="176"/>
        </w:trPr>
        <w:tc>
          <w:tcPr>
            <w:tcW w:w="163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28</w:t>
            </w:r>
          </w:p>
        </w:tc>
        <w:tc>
          <w:tcPr>
            <w:tcW w:w="1685" w:type="dxa"/>
            <w:vAlign w:val="bottom"/>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w:t>
            </w:r>
          </w:p>
        </w:tc>
        <w:tc>
          <w:tcPr>
            <w:tcW w:w="182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$4,622</w:t>
            </w:r>
          </w:p>
        </w:tc>
        <w:tc>
          <w:tcPr>
            <w:tcW w:w="1980"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2358" w:type="dxa"/>
          </w:tcPr>
          <w:p w:rsidR="00014781" w:rsidRPr="00FB16A0" w:rsidRDefault="00014781" w:rsidP="00014781">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Ruben Wills</w:t>
            </w:r>
          </w:p>
        </w:tc>
      </w:tr>
      <w:tr w:rsidR="00014781" w:rsidRPr="00FB16A0" w:rsidTr="00014781">
        <w:trPr>
          <w:trHeight w:val="176"/>
        </w:trPr>
        <w:tc>
          <w:tcPr>
            <w:tcW w:w="163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29</w:t>
            </w:r>
          </w:p>
        </w:tc>
        <w:tc>
          <w:tcPr>
            <w:tcW w:w="1685" w:type="dxa"/>
            <w:vAlign w:val="bottom"/>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w:t>
            </w:r>
          </w:p>
        </w:tc>
        <w:tc>
          <w:tcPr>
            <w:tcW w:w="182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$1,413</w:t>
            </w:r>
          </w:p>
        </w:tc>
        <w:tc>
          <w:tcPr>
            <w:tcW w:w="1980"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2358" w:type="dxa"/>
          </w:tcPr>
          <w:p w:rsidR="00014781" w:rsidRPr="00FB16A0" w:rsidRDefault="00014781" w:rsidP="00014781">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Karen Koslowitz</w:t>
            </w:r>
          </w:p>
        </w:tc>
      </w:tr>
      <w:tr w:rsidR="00014781" w:rsidRPr="00FB16A0" w:rsidTr="00014781">
        <w:trPr>
          <w:trHeight w:val="176"/>
        </w:trPr>
        <w:tc>
          <w:tcPr>
            <w:tcW w:w="163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30</w:t>
            </w:r>
          </w:p>
        </w:tc>
        <w:tc>
          <w:tcPr>
            <w:tcW w:w="1685" w:type="dxa"/>
            <w:vAlign w:val="bottom"/>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6</w:t>
            </w:r>
          </w:p>
        </w:tc>
        <w:tc>
          <w:tcPr>
            <w:tcW w:w="182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$393</w:t>
            </w:r>
          </w:p>
        </w:tc>
        <w:tc>
          <w:tcPr>
            <w:tcW w:w="1980"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2358" w:type="dxa"/>
          </w:tcPr>
          <w:p w:rsidR="00014781" w:rsidRPr="00FB16A0" w:rsidRDefault="00014781" w:rsidP="00014781">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Elizabeth Crowley</w:t>
            </w:r>
          </w:p>
        </w:tc>
      </w:tr>
      <w:tr w:rsidR="00014781" w:rsidRPr="00FB16A0" w:rsidTr="00014781">
        <w:trPr>
          <w:trHeight w:val="176"/>
        </w:trPr>
        <w:tc>
          <w:tcPr>
            <w:tcW w:w="163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32</w:t>
            </w:r>
          </w:p>
        </w:tc>
        <w:tc>
          <w:tcPr>
            <w:tcW w:w="1685" w:type="dxa"/>
            <w:vAlign w:val="bottom"/>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9</w:t>
            </w:r>
          </w:p>
        </w:tc>
        <w:tc>
          <w:tcPr>
            <w:tcW w:w="182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$1,268</w:t>
            </w:r>
          </w:p>
        </w:tc>
        <w:tc>
          <w:tcPr>
            <w:tcW w:w="1980"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$803</w:t>
            </w:r>
          </w:p>
        </w:tc>
        <w:tc>
          <w:tcPr>
            <w:tcW w:w="2358" w:type="dxa"/>
          </w:tcPr>
          <w:p w:rsidR="00014781" w:rsidRPr="00FB16A0" w:rsidRDefault="00014781" w:rsidP="00014781">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Eric Ulrich</w:t>
            </w:r>
          </w:p>
        </w:tc>
      </w:tr>
      <w:tr w:rsidR="00014781" w:rsidRPr="00FB16A0" w:rsidTr="00014781">
        <w:trPr>
          <w:trHeight w:val="176"/>
        </w:trPr>
        <w:tc>
          <w:tcPr>
            <w:tcW w:w="163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34</w:t>
            </w:r>
          </w:p>
        </w:tc>
        <w:tc>
          <w:tcPr>
            <w:tcW w:w="1685" w:type="dxa"/>
            <w:vAlign w:val="bottom"/>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w:t>
            </w:r>
          </w:p>
        </w:tc>
        <w:tc>
          <w:tcPr>
            <w:tcW w:w="182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$8,499</w:t>
            </w:r>
          </w:p>
        </w:tc>
        <w:tc>
          <w:tcPr>
            <w:tcW w:w="1980"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2358" w:type="dxa"/>
          </w:tcPr>
          <w:p w:rsidR="00014781" w:rsidRPr="00FB16A0" w:rsidRDefault="00014781" w:rsidP="00014781">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Antonio Reynoso</w:t>
            </w:r>
          </w:p>
        </w:tc>
      </w:tr>
      <w:tr w:rsidR="00014781" w:rsidRPr="00FB16A0" w:rsidTr="00014781">
        <w:trPr>
          <w:trHeight w:val="176"/>
        </w:trPr>
        <w:tc>
          <w:tcPr>
            <w:tcW w:w="163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39</w:t>
            </w:r>
          </w:p>
        </w:tc>
        <w:tc>
          <w:tcPr>
            <w:tcW w:w="1685" w:type="dxa"/>
            <w:vAlign w:val="bottom"/>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5</w:t>
            </w:r>
          </w:p>
        </w:tc>
        <w:tc>
          <w:tcPr>
            <w:tcW w:w="182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$35,134</w:t>
            </w:r>
          </w:p>
        </w:tc>
        <w:tc>
          <w:tcPr>
            <w:tcW w:w="1980"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2358" w:type="dxa"/>
          </w:tcPr>
          <w:p w:rsidR="00014781" w:rsidRPr="00FB16A0" w:rsidRDefault="00014781" w:rsidP="00014781">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Brad Lander</w:t>
            </w:r>
          </w:p>
        </w:tc>
      </w:tr>
      <w:tr w:rsidR="00014781" w:rsidRPr="00FB16A0" w:rsidTr="00014781">
        <w:trPr>
          <w:trHeight w:val="176"/>
        </w:trPr>
        <w:tc>
          <w:tcPr>
            <w:tcW w:w="163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41</w:t>
            </w:r>
          </w:p>
        </w:tc>
        <w:tc>
          <w:tcPr>
            <w:tcW w:w="1685" w:type="dxa"/>
            <w:vAlign w:val="bottom"/>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w:t>
            </w:r>
          </w:p>
        </w:tc>
        <w:tc>
          <w:tcPr>
            <w:tcW w:w="182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$4,932</w:t>
            </w:r>
          </w:p>
        </w:tc>
        <w:tc>
          <w:tcPr>
            <w:tcW w:w="1980"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2358" w:type="dxa"/>
          </w:tcPr>
          <w:p w:rsidR="00014781" w:rsidRPr="00FB16A0" w:rsidRDefault="00014781" w:rsidP="00014781">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 xml:space="preserve">Darlene Mealy </w:t>
            </w:r>
          </w:p>
        </w:tc>
      </w:tr>
      <w:tr w:rsidR="00014781" w:rsidRPr="00FB16A0" w:rsidTr="00014781">
        <w:trPr>
          <w:trHeight w:val="176"/>
        </w:trPr>
        <w:tc>
          <w:tcPr>
            <w:tcW w:w="163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43</w:t>
            </w:r>
          </w:p>
        </w:tc>
        <w:tc>
          <w:tcPr>
            <w:tcW w:w="1685" w:type="dxa"/>
            <w:vAlign w:val="bottom"/>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w:t>
            </w:r>
          </w:p>
        </w:tc>
        <w:tc>
          <w:tcPr>
            <w:tcW w:w="182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$947</w:t>
            </w:r>
          </w:p>
        </w:tc>
        <w:tc>
          <w:tcPr>
            <w:tcW w:w="1980"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$41,355</w:t>
            </w:r>
          </w:p>
        </w:tc>
        <w:tc>
          <w:tcPr>
            <w:tcW w:w="2358" w:type="dxa"/>
          </w:tcPr>
          <w:p w:rsidR="00014781" w:rsidRPr="00FB16A0" w:rsidRDefault="00014781" w:rsidP="00014781">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Vincent Gentile</w:t>
            </w:r>
          </w:p>
        </w:tc>
      </w:tr>
      <w:tr w:rsidR="00014781" w:rsidRPr="00FB16A0" w:rsidTr="00014781">
        <w:trPr>
          <w:trHeight w:val="176"/>
        </w:trPr>
        <w:tc>
          <w:tcPr>
            <w:tcW w:w="163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44</w:t>
            </w:r>
          </w:p>
        </w:tc>
        <w:tc>
          <w:tcPr>
            <w:tcW w:w="1685" w:type="dxa"/>
            <w:vAlign w:val="bottom"/>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8</w:t>
            </w:r>
          </w:p>
        </w:tc>
        <w:tc>
          <w:tcPr>
            <w:tcW w:w="182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$52,656</w:t>
            </w:r>
          </w:p>
        </w:tc>
        <w:tc>
          <w:tcPr>
            <w:tcW w:w="1980"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$22,452</w:t>
            </w:r>
          </w:p>
        </w:tc>
        <w:tc>
          <w:tcPr>
            <w:tcW w:w="2358" w:type="dxa"/>
          </w:tcPr>
          <w:p w:rsidR="00014781" w:rsidRPr="00FB16A0" w:rsidRDefault="00014781" w:rsidP="00014781">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 xml:space="preserve">David </w:t>
            </w:r>
            <w:r>
              <w:rPr>
                <w:rFonts w:ascii="Times New Roman" w:eastAsia="Times New Roman" w:hAnsi="Times New Roman" w:cs="Times New Roman"/>
                <w:sz w:val="24"/>
                <w:szCs w:val="24"/>
              </w:rPr>
              <w:t xml:space="preserve">G. </w:t>
            </w:r>
            <w:r w:rsidRPr="00FB16A0">
              <w:rPr>
                <w:rFonts w:ascii="Times New Roman" w:eastAsia="Times New Roman" w:hAnsi="Times New Roman" w:cs="Times New Roman"/>
                <w:sz w:val="24"/>
                <w:szCs w:val="24"/>
              </w:rPr>
              <w:t>Greenfield</w:t>
            </w:r>
          </w:p>
        </w:tc>
      </w:tr>
      <w:tr w:rsidR="00014781" w:rsidRPr="00FB16A0" w:rsidTr="00014781">
        <w:trPr>
          <w:trHeight w:val="176"/>
        </w:trPr>
        <w:tc>
          <w:tcPr>
            <w:tcW w:w="163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45</w:t>
            </w:r>
          </w:p>
        </w:tc>
        <w:tc>
          <w:tcPr>
            <w:tcW w:w="1685" w:type="dxa"/>
            <w:vAlign w:val="bottom"/>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w:t>
            </w:r>
          </w:p>
        </w:tc>
        <w:tc>
          <w:tcPr>
            <w:tcW w:w="182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$606</w:t>
            </w:r>
          </w:p>
        </w:tc>
        <w:tc>
          <w:tcPr>
            <w:tcW w:w="1980"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$108,336</w:t>
            </w:r>
          </w:p>
        </w:tc>
        <w:tc>
          <w:tcPr>
            <w:tcW w:w="2358" w:type="dxa"/>
          </w:tcPr>
          <w:p w:rsidR="00014781" w:rsidRPr="00FB16A0" w:rsidRDefault="00014781" w:rsidP="000147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Jumaane D. </w:t>
            </w:r>
            <w:r w:rsidRPr="00FB16A0">
              <w:rPr>
                <w:rFonts w:ascii="Times New Roman" w:eastAsia="Times New Roman" w:hAnsi="Times New Roman" w:cs="Times New Roman"/>
                <w:sz w:val="24"/>
                <w:szCs w:val="24"/>
              </w:rPr>
              <w:t>Williams</w:t>
            </w:r>
          </w:p>
        </w:tc>
      </w:tr>
      <w:tr w:rsidR="00014781" w:rsidRPr="00FB16A0" w:rsidTr="00014781">
        <w:trPr>
          <w:trHeight w:val="176"/>
        </w:trPr>
        <w:tc>
          <w:tcPr>
            <w:tcW w:w="163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46</w:t>
            </w:r>
          </w:p>
        </w:tc>
        <w:tc>
          <w:tcPr>
            <w:tcW w:w="1685" w:type="dxa"/>
            <w:vAlign w:val="bottom"/>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5</w:t>
            </w:r>
          </w:p>
        </w:tc>
        <w:tc>
          <w:tcPr>
            <w:tcW w:w="182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$3,581</w:t>
            </w:r>
          </w:p>
        </w:tc>
        <w:tc>
          <w:tcPr>
            <w:tcW w:w="1980"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$5,086</w:t>
            </w:r>
          </w:p>
        </w:tc>
        <w:tc>
          <w:tcPr>
            <w:tcW w:w="2358" w:type="dxa"/>
          </w:tcPr>
          <w:p w:rsidR="00014781" w:rsidRPr="00FB16A0" w:rsidRDefault="00014781" w:rsidP="00014781">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Alan Maisel</w:t>
            </w:r>
          </w:p>
        </w:tc>
      </w:tr>
      <w:tr w:rsidR="00014781" w:rsidRPr="00FB16A0" w:rsidTr="00014781">
        <w:trPr>
          <w:trHeight w:val="176"/>
        </w:trPr>
        <w:tc>
          <w:tcPr>
            <w:tcW w:w="163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47</w:t>
            </w:r>
          </w:p>
        </w:tc>
        <w:tc>
          <w:tcPr>
            <w:tcW w:w="1685" w:type="dxa"/>
            <w:vAlign w:val="bottom"/>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7</w:t>
            </w:r>
          </w:p>
        </w:tc>
        <w:tc>
          <w:tcPr>
            <w:tcW w:w="182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1980"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$8,618</w:t>
            </w:r>
          </w:p>
        </w:tc>
        <w:tc>
          <w:tcPr>
            <w:tcW w:w="2358" w:type="dxa"/>
          </w:tcPr>
          <w:p w:rsidR="00014781" w:rsidRPr="00FB16A0" w:rsidRDefault="00014781" w:rsidP="00014781">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Mark Treyger</w:t>
            </w:r>
          </w:p>
        </w:tc>
      </w:tr>
      <w:tr w:rsidR="00014781" w:rsidRPr="00FB16A0" w:rsidTr="00014781">
        <w:trPr>
          <w:trHeight w:val="176"/>
        </w:trPr>
        <w:tc>
          <w:tcPr>
            <w:tcW w:w="163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48</w:t>
            </w:r>
          </w:p>
        </w:tc>
        <w:tc>
          <w:tcPr>
            <w:tcW w:w="1685" w:type="dxa"/>
            <w:vAlign w:val="bottom"/>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7</w:t>
            </w:r>
          </w:p>
        </w:tc>
        <w:tc>
          <w:tcPr>
            <w:tcW w:w="182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$9,622</w:t>
            </w:r>
          </w:p>
        </w:tc>
        <w:tc>
          <w:tcPr>
            <w:tcW w:w="1980"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2358" w:type="dxa"/>
          </w:tcPr>
          <w:p w:rsidR="00014781" w:rsidRPr="00FB16A0" w:rsidRDefault="00014781" w:rsidP="00014781">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 xml:space="preserve">Chaim </w:t>
            </w:r>
            <w:r>
              <w:rPr>
                <w:rFonts w:ascii="Times New Roman" w:eastAsia="Times New Roman" w:hAnsi="Times New Roman" w:cs="Times New Roman"/>
                <w:sz w:val="24"/>
                <w:szCs w:val="24"/>
              </w:rPr>
              <w:t xml:space="preserve">M. </w:t>
            </w:r>
            <w:r w:rsidRPr="00FB16A0">
              <w:rPr>
                <w:rFonts w:ascii="Times New Roman" w:eastAsia="Times New Roman" w:hAnsi="Times New Roman" w:cs="Times New Roman"/>
                <w:sz w:val="24"/>
                <w:szCs w:val="24"/>
              </w:rPr>
              <w:t>Deutsch</w:t>
            </w:r>
          </w:p>
        </w:tc>
      </w:tr>
      <w:tr w:rsidR="00014781" w:rsidRPr="00FB16A0" w:rsidTr="00014781">
        <w:trPr>
          <w:trHeight w:val="176"/>
        </w:trPr>
        <w:tc>
          <w:tcPr>
            <w:tcW w:w="163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50</w:t>
            </w:r>
          </w:p>
        </w:tc>
        <w:tc>
          <w:tcPr>
            <w:tcW w:w="1685" w:type="dxa"/>
            <w:vAlign w:val="bottom"/>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12</w:t>
            </w:r>
          </w:p>
        </w:tc>
        <w:tc>
          <w:tcPr>
            <w:tcW w:w="182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$251</w:t>
            </w:r>
          </w:p>
        </w:tc>
        <w:tc>
          <w:tcPr>
            <w:tcW w:w="1980"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$16,009</w:t>
            </w:r>
          </w:p>
        </w:tc>
        <w:tc>
          <w:tcPr>
            <w:tcW w:w="2358" w:type="dxa"/>
          </w:tcPr>
          <w:p w:rsidR="00014781" w:rsidRPr="00FB16A0" w:rsidRDefault="00014781" w:rsidP="00014781">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Steven Matteo</w:t>
            </w:r>
          </w:p>
        </w:tc>
      </w:tr>
      <w:tr w:rsidR="00014781" w:rsidRPr="00FB16A0" w:rsidTr="00014781">
        <w:trPr>
          <w:trHeight w:val="176"/>
        </w:trPr>
        <w:tc>
          <w:tcPr>
            <w:tcW w:w="163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51</w:t>
            </w:r>
          </w:p>
        </w:tc>
        <w:tc>
          <w:tcPr>
            <w:tcW w:w="1685" w:type="dxa"/>
            <w:vAlign w:val="bottom"/>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8</w:t>
            </w:r>
          </w:p>
        </w:tc>
        <w:tc>
          <w:tcPr>
            <w:tcW w:w="1825"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1980" w:type="dxa"/>
            <w:shd w:val="clear" w:color="auto" w:fill="auto"/>
            <w:noWrap/>
            <w:vAlign w:val="bottom"/>
            <w:hideMark/>
          </w:tcPr>
          <w:p w:rsidR="00014781" w:rsidRPr="00FB16A0" w:rsidRDefault="00014781" w:rsidP="00014781">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$22,974</w:t>
            </w:r>
          </w:p>
        </w:tc>
        <w:tc>
          <w:tcPr>
            <w:tcW w:w="2358" w:type="dxa"/>
          </w:tcPr>
          <w:p w:rsidR="00014781" w:rsidRPr="00FB16A0" w:rsidRDefault="00014781" w:rsidP="000147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Joseph</w:t>
            </w:r>
            <w:r w:rsidRPr="00FB16A0">
              <w:rPr>
                <w:rFonts w:ascii="Times New Roman" w:eastAsia="Times New Roman" w:hAnsi="Times New Roman" w:cs="Times New Roman"/>
                <w:sz w:val="24"/>
                <w:szCs w:val="24"/>
              </w:rPr>
              <w:t xml:space="preserve"> Borelli</w:t>
            </w:r>
          </w:p>
        </w:tc>
      </w:tr>
      <w:tr w:rsidR="00014781" w:rsidRPr="00FB16A0" w:rsidTr="00014781">
        <w:trPr>
          <w:trHeight w:val="176"/>
        </w:trPr>
        <w:tc>
          <w:tcPr>
            <w:tcW w:w="1635" w:type="dxa"/>
            <w:shd w:val="clear" w:color="DCE6F1" w:fill="DCE6F1"/>
            <w:noWrap/>
            <w:vAlign w:val="bottom"/>
            <w:hideMark/>
          </w:tcPr>
          <w:p w:rsidR="00014781" w:rsidRPr="00FB16A0" w:rsidRDefault="00014781" w:rsidP="00014781">
            <w:pPr>
              <w:spacing w:after="0" w:line="240" w:lineRule="auto"/>
              <w:rPr>
                <w:rFonts w:ascii="Times New Roman" w:eastAsia="Times New Roman" w:hAnsi="Times New Roman" w:cs="Times New Roman"/>
                <w:b/>
                <w:bCs/>
                <w:sz w:val="24"/>
                <w:szCs w:val="24"/>
              </w:rPr>
            </w:pPr>
            <w:r w:rsidRPr="00FB16A0">
              <w:rPr>
                <w:rFonts w:ascii="Times New Roman" w:eastAsia="Times New Roman" w:hAnsi="Times New Roman" w:cs="Times New Roman"/>
                <w:b/>
                <w:bCs/>
                <w:sz w:val="24"/>
                <w:szCs w:val="24"/>
              </w:rPr>
              <w:t>Grand Total</w:t>
            </w:r>
          </w:p>
        </w:tc>
        <w:tc>
          <w:tcPr>
            <w:tcW w:w="1685" w:type="dxa"/>
            <w:shd w:val="clear" w:color="DCE6F1" w:fill="DCE6F1"/>
            <w:vAlign w:val="bottom"/>
          </w:tcPr>
          <w:p w:rsidR="00014781" w:rsidRPr="00FB16A0" w:rsidRDefault="00014781" w:rsidP="00A557FA">
            <w:pPr>
              <w:spacing w:after="0" w:line="240" w:lineRule="auto"/>
              <w:jc w:val="center"/>
              <w:rPr>
                <w:rFonts w:ascii="Times New Roman" w:eastAsia="Times New Roman" w:hAnsi="Times New Roman" w:cs="Times New Roman"/>
                <w:b/>
                <w:bCs/>
                <w:sz w:val="24"/>
                <w:szCs w:val="24"/>
              </w:rPr>
            </w:pPr>
            <w:r w:rsidRPr="00FB16A0">
              <w:rPr>
                <w:rFonts w:ascii="Times New Roman" w:eastAsia="Times New Roman" w:hAnsi="Times New Roman" w:cs="Times New Roman"/>
                <w:b/>
                <w:bCs/>
                <w:sz w:val="24"/>
                <w:szCs w:val="24"/>
              </w:rPr>
              <w:t>2</w:t>
            </w:r>
            <w:r w:rsidR="00A557FA">
              <w:rPr>
                <w:rFonts w:ascii="Times New Roman" w:eastAsia="Times New Roman" w:hAnsi="Times New Roman" w:cs="Times New Roman"/>
                <w:b/>
                <w:bCs/>
                <w:sz w:val="24"/>
                <w:szCs w:val="24"/>
              </w:rPr>
              <w:t>49</w:t>
            </w:r>
          </w:p>
        </w:tc>
        <w:tc>
          <w:tcPr>
            <w:tcW w:w="1825" w:type="dxa"/>
            <w:shd w:val="clear" w:color="DCE6F1" w:fill="DCE6F1"/>
            <w:noWrap/>
            <w:vAlign w:val="bottom"/>
            <w:hideMark/>
          </w:tcPr>
          <w:p w:rsidR="00014781" w:rsidRPr="00FB16A0" w:rsidRDefault="00014781" w:rsidP="00014781">
            <w:pPr>
              <w:spacing w:after="0" w:line="240" w:lineRule="auto"/>
              <w:jc w:val="center"/>
              <w:rPr>
                <w:rFonts w:ascii="Times New Roman" w:eastAsia="Times New Roman" w:hAnsi="Times New Roman" w:cs="Times New Roman"/>
                <w:b/>
                <w:bCs/>
                <w:sz w:val="24"/>
                <w:szCs w:val="24"/>
              </w:rPr>
            </w:pPr>
            <w:r w:rsidRPr="00FB16A0">
              <w:rPr>
                <w:rFonts w:ascii="Times New Roman" w:eastAsia="Times New Roman" w:hAnsi="Times New Roman" w:cs="Times New Roman"/>
                <w:b/>
                <w:bCs/>
                <w:sz w:val="24"/>
                <w:szCs w:val="24"/>
              </w:rPr>
              <w:t>$589,616</w:t>
            </w:r>
          </w:p>
        </w:tc>
        <w:tc>
          <w:tcPr>
            <w:tcW w:w="1980" w:type="dxa"/>
            <w:shd w:val="clear" w:color="DCE6F1" w:fill="DCE6F1"/>
            <w:noWrap/>
            <w:vAlign w:val="bottom"/>
            <w:hideMark/>
          </w:tcPr>
          <w:p w:rsidR="00014781" w:rsidRPr="00FB16A0" w:rsidRDefault="00014781" w:rsidP="00014781">
            <w:pPr>
              <w:spacing w:after="0" w:line="240" w:lineRule="auto"/>
              <w:jc w:val="center"/>
              <w:rPr>
                <w:rFonts w:ascii="Times New Roman" w:eastAsia="Times New Roman" w:hAnsi="Times New Roman" w:cs="Times New Roman"/>
                <w:b/>
                <w:bCs/>
                <w:sz w:val="24"/>
                <w:szCs w:val="24"/>
              </w:rPr>
            </w:pPr>
            <w:r w:rsidRPr="00FB16A0">
              <w:rPr>
                <w:rFonts w:ascii="Times New Roman" w:eastAsia="Times New Roman" w:hAnsi="Times New Roman" w:cs="Times New Roman"/>
                <w:b/>
                <w:bCs/>
                <w:sz w:val="24"/>
                <w:szCs w:val="24"/>
              </w:rPr>
              <w:t>$369,315</w:t>
            </w:r>
          </w:p>
        </w:tc>
        <w:tc>
          <w:tcPr>
            <w:tcW w:w="2358" w:type="dxa"/>
            <w:shd w:val="clear" w:color="DCE6F1" w:fill="DCE6F1"/>
          </w:tcPr>
          <w:p w:rsidR="00014781" w:rsidRPr="00FB16A0" w:rsidRDefault="00014781" w:rsidP="00014781">
            <w:pPr>
              <w:spacing w:after="0" w:line="240" w:lineRule="auto"/>
              <w:jc w:val="center"/>
              <w:rPr>
                <w:rFonts w:ascii="Times New Roman" w:eastAsia="Times New Roman" w:hAnsi="Times New Roman" w:cs="Times New Roman"/>
                <w:b/>
                <w:bCs/>
                <w:sz w:val="24"/>
                <w:szCs w:val="24"/>
              </w:rPr>
            </w:pPr>
          </w:p>
        </w:tc>
      </w:tr>
    </w:tbl>
    <w:p w:rsidR="00014781" w:rsidRPr="00FB16A0" w:rsidRDefault="00014781" w:rsidP="0096372F">
      <w:pPr>
        <w:jc w:val="center"/>
        <w:rPr>
          <w:rFonts w:ascii="Times New Roman" w:hAnsi="Times New Roman" w:cs="Times New Roman"/>
          <w:noProof/>
          <w:sz w:val="24"/>
          <w:szCs w:val="24"/>
        </w:rPr>
      </w:pPr>
    </w:p>
    <w:p w:rsidR="0040692D" w:rsidRPr="00014781" w:rsidRDefault="0040692D" w:rsidP="009C0E90">
      <w:pPr>
        <w:pStyle w:val="ListParagraph"/>
        <w:keepNext/>
        <w:numPr>
          <w:ilvl w:val="0"/>
          <w:numId w:val="1"/>
        </w:numPr>
        <w:shd w:val="clear" w:color="auto" w:fill="FFFFFF"/>
        <w:spacing w:before="100" w:beforeAutospacing="1" w:after="100" w:afterAutospacing="1" w:line="300" w:lineRule="atLeast"/>
        <w:rPr>
          <w:rFonts w:ascii="Times New Roman" w:eastAsia="Times New Roman" w:hAnsi="Times New Roman" w:cs="Times New Roman"/>
          <w:b/>
          <w:i/>
          <w:sz w:val="24"/>
          <w:szCs w:val="24"/>
        </w:rPr>
      </w:pPr>
      <w:r w:rsidRPr="00FB16A0">
        <w:rPr>
          <w:rFonts w:ascii="Times New Roman" w:eastAsia="Times New Roman" w:hAnsi="Times New Roman" w:cs="Times New Roman"/>
          <w:b/>
          <w:i/>
          <w:sz w:val="24"/>
          <w:szCs w:val="24"/>
        </w:rPr>
        <w:lastRenderedPageBreak/>
        <w:t>Business and Excise Tax Inquir</w:t>
      </w:r>
      <w:r w:rsidR="006958E7">
        <w:rPr>
          <w:rFonts w:ascii="Times New Roman" w:eastAsia="Times New Roman" w:hAnsi="Times New Roman" w:cs="Times New Roman"/>
          <w:b/>
          <w:i/>
          <w:sz w:val="24"/>
          <w:szCs w:val="24"/>
        </w:rPr>
        <w:t>i</w:t>
      </w:r>
      <w:r w:rsidRPr="00FB16A0">
        <w:rPr>
          <w:rFonts w:ascii="Times New Roman" w:eastAsia="Times New Roman" w:hAnsi="Times New Roman" w:cs="Times New Roman"/>
          <w:b/>
          <w:i/>
          <w:sz w:val="24"/>
          <w:szCs w:val="24"/>
        </w:rPr>
        <w:t xml:space="preserve">es and Cases </w:t>
      </w:r>
      <w:r w:rsidR="00635217" w:rsidRPr="00FB16A0">
        <w:rPr>
          <w:rFonts w:ascii="Times New Roman" w:eastAsia="Times New Roman" w:hAnsi="Times New Roman" w:cs="Times New Roman"/>
          <w:b/>
          <w:i/>
          <w:sz w:val="24"/>
          <w:szCs w:val="24"/>
        </w:rPr>
        <w:t xml:space="preserve">by </w:t>
      </w:r>
      <w:r w:rsidR="00B66B55" w:rsidRPr="00FB16A0">
        <w:rPr>
          <w:rFonts w:ascii="Times New Roman" w:eastAsia="Times New Roman" w:hAnsi="Times New Roman" w:cs="Times New Roman"/>
          <w:b/>
          <w:i/>
          <w:sz w:val="24"/>
          <w:szCs w:val="24"/>
        </w:rPr>
        <w:t>S</w:t>
      </w:r>
      <w:r w:rsidR="00635217" w:rsidRPr="00FB16A0">
        <w:rPr>
          <w:rFonts w:ascii="Times New Roman" w:eastAsia="Times New Roman" w:hAnsi="Times New Roman" w:cs="Times New Roman"/>
          <w:b/>
          <w:i/>
          <w:sz w:val="24"/>
          <w:szCs w:val="24"/>
        </w:rPr>
        <w:t>ubcategories</w:t>
      </w:r>
      <w:r w:rsidRPr="00FB16A0">
        <w:rPr>
          <w:rFonts w:ascii="Times New Roman" w:eastAsia="Times New Roman" w:hAnsi="Times New Roman" w:cs="Times New Roman"/>
          <w:b/>
          <w:i/>
          <w:sz w:val="24"/>
          <w:szCs w:val="24"/>
        </w:rPr>
        <w:t>.</w:t>
      </w:r>
      <w:r w:rsidRPr="00FB16A0">
        <w:rPr>
          <w:rStyle w:val="FootnoteReference"/>
          <w:rFonts w:ascii="Times New Roman" w:eastAsia="Times New Roman" w:hAnsi="Times New Roman" w:cs="Times New Roman"/>
          <w:b/>
          <w:i/>
          <w:sz w:val="24"/>
          <w:szCs w:val="24"/>
        </w:rPr>
        <w:footnoteReference w:id="8"/>
      </w:r>
    </w:p>
    <w:p w:rsidR="00014781" w:rsidRPr="00014781" w:rsidRDefault="00014781" w:rsidP="00014781">
      <w:pPr>
        <w:keepNext/>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014781">
        <w:rPr>
          <w:rFonts w:ascii="Times New Roman" w:eastAsia="Times New Roman" w:hAnsi="Times New Roman" w:cs="Times New Roman"/>
          <w:sz w:val="24"/>
          <w:szCs w:val="24"/>
        </w:rPr>
        <w:t xml:space="preserve">Of the </w:t>
      </w:r>
      <w:r>
        <w:rPr>
          <w:rFonts w:ascii="Times New Roman" w:eastAsia="Times New Roman" w:hAnsi="Times New Roman" w:cs="Times New Roman"/>
          <w:sz w:val="24"/>
          <w:szCs w:val="24"/>
        </w:rPr>
        <w:t>135</w:t>
      </w:r>
      <w:r w:rsidRPr="000147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business</w:t>
      </w:r>
      <w:r w:rsidRPr="00014781">
        <w:rPr>
          <w:rFonts w:ascii="Times New Roman" w:eastAsia="Times New Roman" w:hAnsi="Times New Roman" w:cs="Times New Roman"/>
          <w:sz w:val="24"/>
          <w:szCs w:val="24"/>
        </w:rPr>
        <w:t xml:space="preserve"> tax cases and inquiries that OTA handled in its first full year</w:t>
      </w:r>
      <w:r w:rsidR="00D82C4A">
        <w:rPr>
          <w:rFonts w:ascii="Times New Roman" w:eastAsia="Times New Roman" w:hAnsi="Times New Roman" w:cs="Times New Roman"/>
          <w:sz w:val="24"/>
          <w:szCs w:val="24"/>
        </w:rPr>
        <w:t>, 1</w:t>
      </w:r>
      <w:r>
        <w:rPr>
          <w:rFonts w:ascii="Times New Roman" w:eastAsia="Times New Roman" w:hAnsi="Times New Roman" w:cs="Times New Roman"/>
          <w:sz w:val="24"/>
          <w:szCs w:val="24"/>
        </w:rPr>
        <w:t>06 involved General Business tax issues—including 39 involving payments, 35 involving refunds and abatements, and 27 involving miscellaneous issues. Another 21 cases and inquiries handled by OTA involved Unincorporated Business tax issues.</w:t>
      </w:r>
    </w:p>
    <w:p w:rsidR="00DC6D94" w:rsidRPr="00FB16A0" w:rsidRDefault="007F6E9F" w:rsidP="0096372F">
      <w:pPr>
        <w:shd w:val="clear" w:color="auto" w:fill="FFFFFF"/>
        <w:spacing w:before="100" w:beforeAutospacing="1" w:after="100" w:afterAutospacing="1" w:line="300" w:lineRule="atLeast"/>
        <w:jc w:val="center"/>
        <w:rPr>
          <w:rFonts w:ascii="Times New Roman" w:hAnsi="Times New Roman" w:cs="Times New Roman"/>
          <w:noProof/>
          <w:sz w:val="24"/>
          <w:szCs w:val="24"/>
        </w:rPr>
      </w:pPr>
      <w:r w:rsidRPr="00FB16A0">
        <w:rPr>
          <w:rFonts w:ascii="Times New Roman" w:hAnsi="Times New Roman" w:cs="Times New Roman"/>
          <w:noProof/>
          <w:sz w:val="24"/>
          <w:szCs w:val="24"/>
        </w:rPr>
        <w:drawing>
          <wp:inline distT="0" distB="0" distL="0" distR="0" wp14:anchorId="0FCF2FF6" wp14:editId="1A6F9F6D">
            <wp:extent cx="5943600" cy="334327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6372F" w:rsidRDefault="0040692D" w:rsidP="009C0E90">
      <w:pPr>
        <w:pStyle w:val="ListParagraph"/>
        <w:keepNext/>
        <w:numPr>
          <w:ilvl w:val="0"/>
          <w:numId w:val="1"/>
        </w:numPr>
        <w:shd w:val="clear" w:color="auto" w:fill="FFFFFF"/>
        <w:spacing w:before="100" w:beforeAutospacing="1" w:after="100" w:afterAutospacing="1" w:line="300" w:lineRule="atLeast"/>
        <w:rPr>
          <w:rFonts w:ascii="Times New Roman" w:eastAsia="Times New Roman" w:hAnsi="Times New Roman" w:cs="Times New Roman"/>
          <w:b/>
          <w:i/>
          <w:sz w:val="24"/>
          <w:szCs w:val="24"/>
        </w:rPr>
      </w:pPr>
      <w:r w:rsidRPr="00FB16A0">
        <w:rPr>
          <w:rFonts w:ascii="Times New Roman" w:eastAsia="Times New Roman" w:hAnsi="Times New Roman" w:cs="Times New Roman"/>
          <w:b/>
          <w:i/>
          <w:sz w:val="24"/>
          <w:szCs w:val="24"/>
        </w:rPr>
        <w:lastRenderedPageBreak/>
        <w:t xml:space="preserve">Business </w:t>
      </w:r>
      <w:r w:rsidR="006958E7">
        <w:rPr>
          <w:rFonts w:ascii="Times New Roman" w:eastAsia="Times New Roman" w:hAnsi="Times New Roman" w:cs="Times New Roman"/>
          <w:b/>
          <w:i/>
          <w:sz w:val="24"/>
          <w:szCs w:val="24"/>
        </w:rPr>
        <w:t>and Excise Tax Cases by Borough</w:t>
      </w:r>
    </w:p>
    <w:p w:rsidR="00014781" w:rsidRPr="00014781" w:rsidRDefault="00014781" w:rsidP="00014781">
      <w:pPr>
        <w:keepNext/>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vast majority (73%) of business tax cases involved business </w:t>
      </w:r>
      <w:r w:rsidR="0022465D">
        <w:rPr>
          <w:rFonts w:ascii="Times New Roman" w:eastAsia="Times New Roman" w:hAnsi="Times New Roman" w:cs="Times New Roman"/>
          <w:sz w:val="24"/>
          <w:szCs w:val="24"/>
        </w:rPr>
        <w:t>with a nexus in</w:t>
      </w:r>
      <w:r>
        <w:rPr>
          <w:rFonts w:ascii="Times New Roman" w:eastAsia="Times New Roman" w:hAnsi="Times New Roman" w:cs="Times New Roman"/>
          <w:sz w:val="24"/>
          <w:szCs w:val="24"/>
        </w:rPr>
        <w:t xml:space="preserve"> Manhattan.</w:t>
      </w:r>
    </w:p>
    <w:p w:rsidR="00014781" w:rsidRDefault="004B796A" w:rsidP="0096372F">
      <w:pPr>
        <w:shd w:val="clear" w:color="auto" w:fill="FFFFFF"/>
        <w:spacing w:before="100" w:beforeAutospacing="1" w:after="100" w:afterAutospacing="1" w:line="300" w:lineRule="atLeast"/>
        <w:ind w:left="360"/>
        <w:jc w:val="center"/>
        <w:rPr>
          <w:rFonts w:ascii="Times New Roman" w:hAnsi="Times New Roman" w:cs="Times New Roman"/>
          <w:noProof/>
          <w:sz w:val="24"/>
          <w:szCs w:val="24"/>
        </w:rPr>
      </w:pPr>
      <w:r w:rsidRPr="00FB16A0">
        <w:rPr>
          <w:rFonts w:ascii="Times New Roman" w:hAnsi="Times New Roman" w:cs="Times New Roman"/>
          <w:noProof/>
          <w:sz w:val="24"/>
          <w:szCs w:val="24"/>
        </w:rPr>
        <w:drawing>
          <wp:inline distT="0" distB="0" distL="0" distR="0" wp14:anchorId="1736D93E" wp14:editId="2E38D4B9">
            <wp:extent cx="4156364" cy="2660073"/>
            <wp:effectExtent l="0" t="0" r="15875" b="2603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15935" w:rsidRPr="00283937" w:rsidRDefault="00315935" w:rsidP="00283937">
      <w:pPr>
        <w:pStyle w:val="ListParagraph"/>
        <w:keepNext/>
        <w:numPr>
          <w:ilvl w:val="0"/>
          <w:numId w:val="1"/>
        </w:numPr>
        <w:shd w:val="clear" w:color="auto" w:fill="FFFFFF"/>
        <w:spacing w:before="100" w:beforeAutospacing="1" w:after="100" w:afterAutospacing="1" w:line="300" w:lineRule="atLeast"/>
        <w:rPr>
          <w:rFonts w:ascii="Times New Roman" w:eastAsia="Times New Roman" w:hAnsi="Times New Roman" w:cs="Times New Roman"/>
          <w:b/>
          <w:i/>
          <w:sz w:val="24"/>
          <w:szCs w:val="24"/>
        </w:rPr>
      </w:pPr>
      <w:r w:rsidRPr="00283937">
        <w:rPr>
          <w:rFonts w:ascii="Times New Roman" w:eastAsia="Times New Roman" w:hAnsi="Times New Roman" w:cs="Times New Roman"/>
          <w:b/>
          <w:i/>
          <w:sz w:val="24"/>
          <w:szCs w:val="24"/>
        </w:rPr>
        <w:t xml:space="preserve">Business Tax Cases by City Council </w:t>
      </w:r>
      <w:r w:rsidR="009A6E18" w:rsidRPr="00283937">
        <w:rPr>
          <w:rFonts w:ascii="Times New Roman" w:eastAsia="Times New Roman" w:hAnsi="Times New Roman" w:cs="Times New Roman"/>
          <w:b/>
          <w:i/>
          <w:sz w:val="24"/>
          <w:szCs w:val="24"/>
        </w:rPr>
        <w:t>District</w:t>
      </w:r>
    </w:p>
    <w:p w:rsidR="0058378A" w:rsidRPr="0058378A" w:rsidRDefault="0058378A" w:rsidP="00824780">
      <w:pPr>
        <w:keepNext/>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OTA handled business tax cases resulting in refunds or abatements for business taxpayers in 9 of the City’s 51 Council districts. Two cases resulting in abatements could not be attributed to a district. The refund and abatement amounts by district are listed below:</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1306"/>
        <w:gridCol w:w="1934"/>
        <w:gridCol w:w="1980"/>
        <w:gridCol w:w="2448"/>
      </w:tblGrid>
      <w:tr w:rsidR="004B796A" w:rsidRPr="00FB16A0" w:rsidTr="00E7770B">
        <w:trPr>
          <w:trHeight w:val="300"/>
          <w:tblHeader/>
        </w:trPr>
        <w:tc>
          <w:tcPr>
            <w:tcW w:w="1815" w:type="dxa"/>
            <w:shd w:val="clear" w:color="DCE6F1" w:fill="DCE6F1"/>
            <w:noWrap/>
            <w:vAlign w:val="bottom"/>
            <w:hideMark/>
          </w:tcPr>
          <w:p w:rsidR="004B796A" w:rsidRPr="00FB16A0" w:rsidRDefault="004B796A" w:rsidP="0088076B">
            <w:pPr>
              <w:spacing w:after="0" w:line="240" w:lineRule="auto"/>
              <w:jc w:val="center"/>
              <w:rPr>
                <w:rFonts w:ascii="Times New Roman" w:eastAsia="Times New Roman" w:hAnsi="Times New Roman" w:cs="Times New Roman"/>
                <w:b/>
                <w:bCs/>
                <w:sz w:val="24"/>
                <w:szCs w:val="24"/>
              </w:rPr>
            </w:pPr>
            <w:r w:rsidRPr="00FB16A0">
              <w:rPr>
                <w:rFonts w:ascii="Times New Roman" w:eastAsia="Times New Roman" w:hAnsi="Times New Roman" w:cs="Times New Roman"/>
                <w:b/>
                <w:bCs/>
                <w:sz w:val="24"/>
                <w:szCs w:val="24"/>
              </w:rPr>
              <w:t>City Council District</w:t>
            </w:r>
          </w:p>
        </w:tc>
        <w:tc>
          <w:tcPr>
            <w:tcW w:w="1306" w:type="dxa"/>
            <w:shd w:val="clear" w:color="DCE6F1" w:fill="DCE6F1"/>
            <w:vAlign w:val="bottom"/>
          </w:tcPr>
          <w:p w:rsidR="004B796A" w:rsidRPr="00FB16A0" w:rsidRDefault="004B796A" w:rsidP="0088076B">
            <w:pPr>
              <w:spacing w:after="0" w:line="240" w:lineRule="auto"/>
              <w:jc w:val="center"/>
              <w:rPr>
                <w:rFonts w:ascii="Times New Roman" w:eastAsia="Times New Roman" w:hAnsi="Times New Roman" w:cs="Times New Roman"/>
                <w:b/>
                <w:bCs/>
                <w:sz w:val="24"/>
                <w:szCs w:val="24"/>
              </w:rPr>
            </w:pPr>
            <w:r w:rsidRPr="00FB16A0">
              <w:rPr>
                <w:rFonts w:ascii="Times New Roman" w:eastAsia="Times New Roman" w:hAnsi="Times New Roman" w:cs="Times New Roman"/>
                <w:b/>
                <w:bCs/>
                <w:sz w:val="24"/>
                <w:szCs w:val="24"/>
              </w:rPr>
              <w:t>Number of Cases</w:t>
            </w:r>
          </w:p>
        </w:tc>
        <w:tc>
          <w:tcPr>
            <w:tcW w:w="1934" w:type="dxa"/>
            <w:shd w:val="clear" w:color="DCE6F1" w:fill="DCE6F1"/>
            <w:noWrap/>
            <w:vAlign w:val="bottom"/>
          </w:tcPr>
          <w:p w:rsidR="004B796A" w:rsidRPr="00FB16A0" w:rsidRDefault="004B796A" w:rsidP="0088076B">
            <w:pPr>
              <w:spacing w:after="0" w:line="240" w:lineRule="auto"/>
              <w:jc w:val="center"/>
              <w:rPr>
                <w:rFonts w:ascii="Times New Roman" w:eastAsia="Times New Roman" w:hAnsi="Times New Roman" w:cs="Times New Roman"/>
                <w:b/>
                <w:bCs/>
                <w:sz w:val="24"/>
                <w:szCs w:val="24"/>
              </w:rPr>
            </w:pPr>
            <w:r w:rsidRPr="00FB16A0">
              <w:rPr>
                <w:rFonts w:ascii="Times New Roman" w:eastAsia="Times New Roman" w:hAnsi="Times New Roman" w:cs="Times New Roman"/>
                <w:b/>
                <w:bCs/>
                <w:sz w:val="24"/>
                <w:szCs w:val="24"/>
              </w:rPr>
              <w:t>Total Refund for District</w:t>
            </w:r>
          </w:p>
        </w:tc>
        <w:tc>
          <w:tcPr>
            <w:tcW w:w="1980" w:type="dxa"/>
            <w:shd w:val="clear" w:color="DCE6F1" w:fill="DCE6F1"/>
            <w:noWrap/>
            <w:vAlign w:val="bottom"/>
          </w:tcPr>
          <w:p w:rsidR="004B796A" w:rsidRPr="00FB16A0" w:rsidRDefault="004B796A" w:rsidP="0088076B">
            <w:pPr>
              <w:spacing w:after="0" w:line="240" w:lineRule="auto"/>
              <w:jc w:val="center"/>
              <w:rPr>
                <w:rFonts w:ascii="Times New Roman" w:eastAsia="Times New Roman" w:hAnsi="Times New Roman" w:cs="Times New Roman"/>
                <w:b/>
                <w:bCs/>
                <w:sz w:val="24"/>
                <w:szCs w:val="24"/>
              </w:rPr>
            </w:pPr>
            <w:r w:rsidRPr="00FB16A0">
              <w:rPr>
                <w:rFonts w:ascii="Times New Roman" w:eastAsia="Times New Roman" w:hAnsi="Times New Roman" w:cs="Times New Roman"/>
                <w:b/>
                <w:bCs/>
                <w:sz w:val="24"/>
                <w:szCs w:val="24"/>
              </w:rPr>
              <w:t>Total Abatement for District</w:t>
            </w:r>
          </w:p>
        </w:tc>
        <w:tc>
          <w:tcPr>
            <w:tcW w:w="2448" w:type="dxa"/>
            <w:shd w:val="clear" w:color="DCE6F1" w:fill="DCE6F1"/>
          </w:tcPr>
          <w:p w:rsidR="004B796A" w:rsidRPr="00FB16A0" w:rsidRDefault="004B796A" w:rsidP="0088076B">
            <w:pPr>
              <w:spacing w:after="0" w:line="240" w:lineRule="auto"/>
              <w:jc w:val="center"/>
              <w:rPr>
                <w:rFonts w:ascii="Times New Roman" w:eastAsia="Times New Roman" w:hAnsi="Times New Roman" w:cs="Times New Roman"/>
                <w:b/>
                <w:bCs/>
                <w:sz w:val="24"/>
                <w:szCs w:val="24"/>
              </w:rPr>
            </w:pPr>
            <w:r w:rsidRPr="00FB16A0">
              <w:rPr>
                <w:rFonts w:ascii="Times New Roman" w:eastAsia="Times New Roman" w:hAnsi="Times New Roman" w:cs="Times New Roman"/>
                <w:b/>
                <w:bCs/>
                <w:sz w:val="24"/>
                <w:szCs w:val="24"/>
              </w:rPr>
              <w:t xml:space="preserve">Council </w:t>
            </w:r>
            <w:r w:rsidR="0096372F">
              <w:rPr>
                <w:rFonts w:ascii="Times New Roman" w:eastAsia="Times New Roman" w:hAnsi="Times New Roman" w:cs="Times New Roman"/>
                <w:b/>
                <w:bCs/>
                <w:sz w:val="24"/>
                <w:szCs w:val="24"/>
              </w:rPr>
              <w:br/>
            </w:r>
            <w:r w:rsidRPr="00FB16A0">
              <w:rPr>
                <w:rFonts w:ascii="Times New Roman" w:eastAsia="Times New Roman" w:hAnsi="Times New Roman" w:cs="Times New Roman"/>
                <w:b/>
                <w:bCs/>
                <w:sz w:val="24"/>
                <w:szCs w:val="24"/>
              </w:rPr>
              <w:t xml:space="preserve">Member </w:t>
            </w:r>
          </w:p>
        </w:tc>
      </w:tr>
      <w:tr w:rsidR="004B796A" w:rsidRPr="00FB16A0" w:rsidTr="00E7770B">
        <w:trPr>
          <w:trHeight w:val="300"/>
        </w:trPr>
        <w:tc>
          <w:tcPr>
            <w:tcW w:w="1815" w:type="dxa"/>
            <w:shd w:val="clear" w:color="auto" w:fill="auto"/>
            <w:noWrap/>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w:t>
            </w:r>
          </w:p>
        </w:tc>
        <w:tc>
          <w:tcPr>
            <w:tcW w:w="1306" w:type="dxa"/>
            <w:vAlign w:val="bottom"/>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7</w:t>
            </w:r>
          </w:p>
        </w:tc>
        <w:tc>
          <w:tcPr>
            <w:tcW w:w="1934" w:type="dxa"/>
            <w:shd w:val="clear" w:color="auto" w:fill="auto"/>
            <w:noWrap/>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$6,017</w:t>
            </w:r>
          </w:p>
        </w:tc>
        <w:tc>
          <w:tcPr>
            <w:tcW w:w="1980" w:type="dxa"/>
            <w:shd w:val="clear" w:color="auto" w:fill="auto"/>
            <w:noWrap/>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$27,238</w:t>
            </w:r>
          </w:p>
        </w:tc>
        <w:tc>
          <w:tcPr>
            <w:tcW w:w="2448" w:type="dxa"/>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 xml:space="preserve">Margaret Chin </w:t>
            </w:r>
          </w:p>
        </w:tc>
      </w:tr>
      <w:tr w:rsidR="004B796A" w:rsidRPr="00FB16A0" w:rsidTr="00E7770B">
        <w:trPr>
          <w:trHeight w:val="300"/>
        </w:trPr>
        <w:tc>
          <w:tcPr>
            <w:tcW w:w="1815" w:type="dxa"/>
            <w:shd w:val="clear" w:color="auto" w:fill="auto"/>
            <w:noWrap/>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w:t>
            </w:r>
          </w:p>
        </w:tc>
        <w:tc>
          <w:tcPr>
            <w:tcW w:w="1306" w:type="dxa"/>
            <w:vAlign w:val="bottom"/>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22</w:t>
            </w:r>
          </w:p>
        </w:tc>
        <w:tc>
          <w:tcPr>
            <w:tcW w:w="1934" w:type="dxa"/>
            <w:shd w:val="clear" w:color="auto" w:fill="auto"/>
            <w:noWrap/>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$204,493</w:t>
            </w:r>
          </w:p>
        </w:tc>
        <w:tc>
          <w:tcPr>
            <w:tcW w:w="1980" w:type="dxa"/>
            <w:shd w:val="clear" w:color="auto" w:fill="auto"/>
            <w:noWrap/>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$61,546</w:t>
            </w:r>
          </w:p>
        </w:tc>
        <w:tc>
          <w:tcPr>
            <w:tcW w:w="2448" w:type="dxa"/>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Daniel Garodnick</w:t>
            </w:r>
          </w:p>
        </w:tc>
      </w:tr>
      <w:tr w:rsidR="004B796A" w:rsidRPr="00FB16A0" w:rsidTr="00E7770B">
        <w:trPr>
          <w:trHeight w:val="300"/>
        </w:trPr>
        <w:tc>
          <w:tcPr>
            <w:tcW w:w="1815" w:type="dxa"/>
            <w:shd w:val="clear" w:color="auto" w:fill="auto"/>
            <w:noWrap/>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8</w:t>
            </w:r>
          </w:p>
        </w:tc>
        <w:tc>
          <w:tcPr>
            <w:tcW w:w="1306" w:type="dxa"/>
            <w:vAlign w:val="bottom"/>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w:t>
            </w:r>
          </w:p>
        </w:tc>
        <w:tc>
          <w:tcPr>
            <w:tcW w:w="1934" w:type="dxa"/>
            <w:shd w:val="clear" w:color="auto" w:fill="auto"/>
            <w:noWrap/>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1980" w:type="dxa"/>
            <w:shd w:val="clear" w:color="auto" w:fill="auto"/>
            <w:noWrap/>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$28</w:t>
            </w:r>
          </w:p>
        </w:tc>
        <w:tc>
          <w:tcPr>
            <w:tcW w:w="2448" w:type="dxa"/>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Melissa Mark-Viverito</w:t>
            </w:r>
          </w:p>
        </w:tc>
      </w:tr>
      <w:tr w:rsidR="004B796A" w:rsidRPr="00FB16A0" w:rsidTr="00E7770B">
        <w:trPr>
          <w:trHeight w:val="300"/>
        </w:trPr>
        <w:tc>
          <w:tcPr>
            <w:tcW w:w="1815" w:type="dxa"/>
            <w:shd w:val="clear" w:color="auto" w:fill="auto"/>
            <w:noWrap/>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9</w:t>
            </w:r>
          </w:p>
        </w:tc>
        <w:tc>
          <w:tcPr>
            <w:tcW w:w="1306" w:type="dxa"/>
            <w:vAlign w:val="bottom"/>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w:t>
            </w:r>
          </w:p>
        </w:tc>
        <w:tc>
          <w:tcPr>
            <w:tcW w:w="1934" w:type="dxa"/>
            <w:shd w:val="clear" w:color="auto" w:fill="auto"/>
            <w:noWrap/>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1980" w:type="dxa"/>
            <w:shd w:val="clear" w:color="auto" w:fill="auto"/>
            <w:noWrap/>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$291</w:t>
            </w:r>
          </w:p>
        </w:tc>
        <w:tc>
          <w:tcPr>
            <w:tcW w:w="2448" w:type="dxa"/>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 xml:space="preserve">Bill Perkins </w:t>
            </w:r>
          </w:p>
        </w:tc>
      </w:tr>
      <w:tr w:rsidR="004B796A" w:rsidRPr="00FB16A0" w:rsidTr="00E7770B">
        <w:trPr>
          <w:trHeight w:val="300"/>
        </w:trPr>
        <w:tc>
          <w:tcPr>
            <w:tcW w:w="1815" w:type="dxa"/>
            <w:shd w:val="clear" w:color="auto" w:fill="auto"/>
            <w:noWrap/>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19</w:t>
            </w:r>
          </w:p>
        </w:tc>
        <w:tc>
          <w:tcPr>
            <w:tcW w:w="1306" w:type="dxa"/>
            <w:vAlign w:val="bottom"/>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w:t>
            </w:r>
          </w:p>
        </w:tc>
        <w:tc>
          <w:tcPr>
            <w:tcW w:w="1934" w:type="dxa"/>
            <w:shd w:val="clear" w:color="auto" w:fill="auto"/>
            <w:noWrap/>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1980" w:type="dxa"/>
            <w:shd w:val="clear" w:color="auto" w:fill="auto"/>
            <w:noWrap/>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$28,820</w:t>
            </w:r>
          </w:p>
        </w:tc>
        <w:tc>
          <w:tcPr>
            <w:tcW w:w="2448" w:type="dxa"/>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Paul Vallone</w:t>
            </w:r>
          </w:p>
        </w:tc>
      </w:tr>
      <w:tr w:rsidR="004B796A" w:rsidRPr="00FB16A0" w:rsidTr="00E7770B">
        <w:trPr>
          <w:trHeight w:val="300"/>
        </w:trPr>
        <w:tc>
          <w:tcPr>
            <w:tcW w:w="1815" w:type="dxa"/>
            <w:shd w:val="clear" w:color="auto" w:fill="auto"/>
            <w:noWrap/>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32</w:t>
            </w:r>
          </w:p>
        </w:tc>
        <w:tc>
          <w:tcPr>
            <w:tcW w:w="1306" w:type="dxa"/>
            <w:vAlign w:val="bottom"/>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w:t>
            </w:r>
          </w:p>
        </w:tc>
        <w:tc>
          <w:tcPr>
            <w:tcW w:w="1934" w:type="dxa"/>
            <w:shd w:val="clear" w:color="auto" w:fill="auto"/>
            <w:noWrap/>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$10,052</w:t>
            </w:r>
          </w:p>
        </w:tc>
        <w:tc>
          <w:tcPr>
            <w:tcW w:w="1980" w:type="dxa"/>
            <w:shd w:val="clear" w:color="auto" w:fill="auto"/>
            <w:noWrap/>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2448" w:type="dxa"/>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Eric Ulrich</w:t>
            </w:r>
          </w:p>
        </w:tc>
      </w:tr>
      <w:tr w:rsidR="004B796A" w:rsidRPr="00FB16A0" w:rsidTr="00E7770B">
        <w:trPr>
          <w:trHeight w:val="300"/>
        </w:trPr>
        <w:tc>
          <w:tcPr>
            <w:tcW w:w="1815" w:type="dxa"/>
            <w:shd w:val="clear" w:color="auto" w:fill="auto"/>
            <w:noWrap/>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34</w:t>
            </w:r>
          </w:p>
        </w:tc>
        <w:tc>
          <w:tcPr>
            <w:tcW w:w="1306" w:type="dxa"/>
            <w:vAlign w:val="bottom"/>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w:t>
            </w:r>
          </w:p>
        </w:tc>
        <w:tc>
          <w:tcPr>
            <w:tcW w:w="1934" w:type="dxa"/>
            <w:shd w:val="clear" w:color="auto" w:fill="auto"/>
            <w:noWrap/>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$59,656</w:t>
            </w:r>
          </w:p>
        </w:tc>
        <w:tc>
          <w:tcPr>
            <w:tcW w:w="1980" w:type="dxa"/>
            <w:shd w:val="clear" w:color="auto" w:fill="auto"/>
            <w:noWrap/>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2448" w:type="dxa"/>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Antonio Reynoso</w:t>
            </w:r>
          </w:p>
        </w:tc>
      </w:tr>
      <w:tr w:rsidR="004B796A" w:rsidRPr="00FB16A0" w:rsidTr="00E7770B">
        <w:trPr>
          <w:trHeight w:val="300"/>
        </w:trPr>
        <w:tc>
          <w:tcPr>
            <w:tcW w:w="1815" w:type="dxa"/>
            <w:shd w:val="clear" w:color="auto" w:fill="auto"/>
            <w:noWrap/>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39</w:t>
            </w:r>
          </w:p>
        </w:tc>
        <w:tc>
          <w:tcPr>
            <w:tcW w:w="1306" w:type="dxa"/>
            <w:vAlign w:val="bottom"/>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w:t>
            </w:r>
          </w:p>
        </w:tc>
        <w:tc>
          <w:tcPr>
            <w:tcW w:w="1934" w:type="dxa"/>
            <w:shd w:val="clear" w:color="auto" w:fill="auto"/>
            <w:noWrap/>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1980" w:type="dxa"/>
            <w:shd w:val="clear" w:color="auto" w:fill="auto"/>
            <w:noWrap/>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$221</w:t>
            </w:r>
          </w:p>
        </w:tc>
        <w:tc>
          <w:tcPr>
            <w:tcW w:w="2448" w:type="dxa"/>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Brad Lander</w:t>
            </w:r>
          </w:p>
        </w:tc>
      </w:tr>
      <w:tr w:rsidR="004B796A" w:rsidRPr="00FB16A0" w:rsidTr="00E7770B">
        <w:trPr>
          <w:trHeight w:val="300"/>
        </w:trPr>
        <w:tc>
          <w:tcPr>
            <w:tcW w:w="1815" w:type="dxa"/>
            <w:shd w:val="clear" w:color="auto" w:fill="auto"/>
            <w:noWrap/>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44</w:t>
            </w:r>
          </w:p>
        </w:tc>
        <w:tc>
          <w:tcPr>
            <w:tcW w:w="1306" w:type="dxa"/>
            <w:vAlign w:val="bottom"/>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w:t>
            </w:r>
          </w:p>
        </w:tc>
        <w:tc>
          <w:tcPr>
            <w:tcW w:w="1934" w:type="dxa"/>
            <w:shd w:val="clear" w:color="auto" w:fill="auto"/>
            <w:noWrap/>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1980" w:type="dxa"/>
            <w:shd w:val="clear" w:color="auto" w:fill="auto"/>
            <w:noWrap/>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$232</w:t>
            </w:r>
          </w:p>
        </w:tc>
        <w:tc>
          <w:tcPr>
            <w:tcW w:w="2448" w:type="dxa"/>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David</w:t>
            </w:r>
            <w:r w:rsidR="00E7770B">
              <w:rPr>
                <w:rFonts w:ascii="Times New Roman" w:eastAsia="Times New Roman" w:hAnsi="Times New Roman" w:cs="Times New Roman"/>
                <w:sz w:val="24"/>
                <w:szCs w:val="24"/>
              </w:rPr>
              <w:t xml:space="preserve"> G.</w:t>
            </w:r>
            <w:r w:rsidRPr="00FB16A0">
              <w:rPr>
                <w:rFonts w:ascii="Times New Roman" w:eastAsia="Times New Roman" w:hAnsi="Times New Roman" w:cs="Times New Roman"/>
                <w:sz w:val="24"/>
                <w:szCs w:val="24"/>
              </w:rPr>
              <w:t xml:space="preserve"> Greenfield</w:t>
            </w:r>
          </w:p>
        </w:tc>
      </w:tr>
      <w:tr w:rsidR="004B796A" w:rsidRPr="00FB16A0" w:rsidTr="00E7770B">
        <w:trPr>
          <w:trHeight w:val="300"/>
        </w:trPr>
        <w:tc>
          <w:tcPr>
            <w:tcW w:w="1815" w:type="dxa"/>
            <w:shd w:val="clear" w:color="auto" w:fill="auto"/>
            <w:noWrap/>
            <w:vAlign w:val="bottom"/>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 xml:space="preserve">No District </w:t>
            </w:r>
          </w:p>
        </w:tc>
        <w:tc>
          <w:tcPr>
            <w:tcW w:w="1306" w:type="dxa"/>
            <w:vAlign w:val="bottom"/>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w:t>
            </w:r>
          </w:p>
        </w:tc>
        <w:tc>
          <w:tcPr>
            <w:tcW w:w="1934" w:type="dxa"/>
            <w:shd w:val="clear" w:color="auto" w:fill="auto"/>
            <w:noWrap/>
            <w:vAlign w:val="bottom"/>
          </w:tcPr>
          <w:p w:rsidR="004B796A" w:rsidRPr="00FB16A0" w:rsidRDefault="006000E0" w:rsidP="008807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0" w:type="dxa"/>
            <w:shd w:val="clear" w:color="auto" w:fill="auto"/>
            <w:noWrap/>
            <w:vAlign w:val="bottom"/>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$26</w:t>
            </w:r>
          </w:p>
        </w:tc>
        <w:tc>
          <w:tcPr>
            <w:tcW w:w="2448" w:type="dxa"/>
          </w:tcPr>
          <w:p w:rsidR="004B796A" w:rsidRPr="00FB16A0" w:rsidRDefault="006000E0" w:rsidP="008807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B796A" w:rsidRPr="00FB16A0" w:rsidTr="00E7770B">
        <w:trPr>
          <w:trHeight w:val="300"/>
        </w:trPr>
        <w:tc>
          <w:tcPr>
            <w:tcW w:w="1815" w:type="dxa"/>
            <w:shd w:val="clear" w:color="DCE6F1" w:fill="DCE6F1"/>
            <w:noWrap/>
            <w:vAlign w:val="bottom"/>
            <w:hideMark/>
          </w:tcPr>
          <w:p w:rsidR="004B796A" w:rsidRPr="00FB16A0" w:rsidRDefault="004B796A" w:rsidP="0088076B">
            <w:pPr>
              <w:spacing w:after="0" w:line="240" w:lineRule="auto"/>
              <w:jc w:val="center"/>
              <w:rPr>
                <w:rFonts w:ascii="Times New Roman" w:eastAsia="Times New Roman" w:hAnsi="Times New Roman" w:cs="Times New Roman"/>
                <w:b/>
                <w:bCs/>
                <w:sz w:val="24"/>
                <w:szCs w:val="24"/>
              </w:rPr>
            </w:pPr>
            <w:r w:rsidRPr="00FB16A0">
              <w:rPr>
                <w:rFonts w:ascii="Times New Roman" w:eastAsia="Times New Roman" w:hAnsi="Times New Roman" w:cs="Times New Roman"/>
                <w:b/>
                <w:bCs/>
                <w:sz w:val="24"/>
                <w:szCs w:val="24"/>
              </w:rPr>
              <w:t>Grand Total</w:t>
            </w:r>
          </w:p>
        </w:tc>
        <w:tc>
          <w:tcPr>
            <w:tcW w:w="1306" w:type="dxa"/>
            <w:shd w:val="clear" w:color="DCE6F1" w:fill="DCE6F1"/>
            <w:vAlign w:val="bottom"/>
          </w:tcPr>
          <w:p w:rsidR="004B796A" w:rsidRPr="00FB16A0" w:rsidRDefault="00A557FA" w:rsidP="0088076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49</w:t>
            </w:r>
          </w:p>
        </w:tc>
        <w:tc>
          <w:tcPr>
            <w:tcW w:w="1934" w:type="dxa"/>
            <w:shd w:val="clear" w:color="DCE6F1" w:fill="DCE6F1"/>
            <w:noWrap/>
            <w:vAlign w:val="bottom"/>
            <w:hideMark/>
          </w:tcPr>
          <w:p w:rsidR="004B796A" w:rsidRPr="00FB16A0" w:rsidRDefault="004B796A" w:rsidP="0088076B">
            <w:pPr>
              <w:spacing w:after="0" w:line="240" w:lineRule="auto"/>
              <w:jc w:val="center"/>
              <w:rPr>
                <w:rFonts w:ascii="Times New Roman" w:eastAsia="Times New Roman" w:hAnsi="Times New Roman" w:cs="Times New Roman"/>
                <w:b/>
                <w:bCs/>
                <w:sz w:val="24"/>
                <w:szCs w:val="24"/>
              </w:rPr>
            </w:pPr>
            <w:r w:rsidRPr="00FB16A0">
              <w:rPr>
                <w:rFonts w:ascii="Times New Roman" w:eastAsia="Times New Roman" w:hAnsi="Times New Roman" w:cs="Times New Roman"/>
                <w:b/>
                <w:bCs/>
                <w:sz w:val="24"/>
                <w:szCs w:val="24"/>
              </w:rPr>
              <w:t>$280,219</w:t>
            </w:r>
          </w:p>
        </w:tc>
        <w:tc>
          <w:tcPr>
            <w:tcW w:w="1980" w:type="dxa"/>
            <w:shd w:val="clear" w:color="DCE6F1" w:fill="DCE6F1"/>
            <w:noWrap/>
            <w:vAlign w:val="bottom"/>
            <w:hideMark/>
          </w:tcPr>
          <w:p w:rsidR="004B796A" w:rsidRPr="00FB16A0" w:rsidRDefault="004B796A" w:rsidP="0088076B">
            <w:pPr>
              <w:spacing w:after="0" w:line="240" w:lineRule="auto"/>
              <w:jc w:val="center"/>
              <w:rPr>
                <w:rFonts w:ascii="Times New Roman" w:eastAsia="Times New Roman" w:hAnsi="Times New Roman" w:cs="Times New Roman"/>
                <w:b/>
                <w:bCs/>
                <w:sz w:val="24"/>
                <w:szCs w:val="24"/>
              </w:rPr>
            </w:pPr>
            <w:r w:rsidRPr="00FB16A0">
              <w:rPr>
                <w:rFonts w:ascii="Times New Roman" w:eastAsia="Times New Roman" w:hAnsi="Times New Roman" w:cs="Times New Roman"/>
                <w:b/>
                <w:bCs/>
                <w:sz w:val="24"/>
                <w:szCs w:val="24"/>
              </w:rPr>
              <w:t>$118,401</w:t>
            </w:r>
          </w:p>
        </w:tc>
        <w:tc>
          <w:tcPr>
            <w:tcW w:w="2448" w:type="dxa"/>
            <w:shd w:val="clear" w:color="DCE6F1" w:fill="DCE6F1"/>
          </w:tcPr>
          <w:p w:rsidR="004B796A" w:rsidRPr="00FB16A0" w:rsidRDefault="004B796A" w:rsidP="0088076B">
            <w:pPr>
              <w:spacing w:after="0" w:line="240" w:lineRule="auto"/>
              <w:jc w:val="center"/>
              <w:rPr>
                <w:rFonts w:ascii="Times New Roman" w:eastAsia="Times New Roman" w:hAnsi="Times New Roman" w:cs="Times New Roman"/>
                <w:b/>
                <w:bCs/>
                <w:sz w:val="24"/>
                <w:szCs w:val="24"/>
              </w:rPr>
            </w:pPr>
          </w:p>
        </w:tc>
      </w:tr>
    </w:tbl>
    <w:p w:rsidR="0058378A" w:rsidRPr="0058378A" w:rsidRDefault="0058378A" w:rsidP="0058378A">
      <w:pPr>
        <w:pStyle w:val="ListParagraph"/>
        <w:keepNext/>
        <w:numPr>
          <w:ilvl w:val="0"/>
          <w:numId w:val="1"/>
        </w:numPr>
        <w:shd w:val="clear" w:color="auto" w:fill="FFFFFF"/>
        <w:spacing w:before="100" w:beforeAutospacing="1" w:after="100" w:afterAutospacing="1" w:line="300" w:lineRule="atLeast"/>
        <w:rPr>
          <w:rFonts w:ascii="Times New Roman" w:eastAsia="Times New Roman" w:hAnsi="Times New Roman" w:cs="Times New Roman"/>
          <w:b/>
          <w:i/>
          <w:sz w:val="24"/>
          <w:szCs w:val="24"/>
        </w:rPr>
      </w:pPr>
      <w:r w:rsidRPr="0058378A">
        <w:rPr>
          <w:rFonts w:ascii="Times New Roman" w:eastAsia="Times New Roman" w:hAnsi="Times New Roman" w:cs="Times New Roman"/>
          <w:b/>
          <w:i/>
          <w:sz w:val="24"/>
          <w:szCs w:val="24"/>
        </w:rPr>
        <w:lastRenderedPageBreak/>
        <w:t>Referrals</w:t>
      </w:r>
      <w:r w:rsidR="00F350F6">
        <w:rPr>
          <w:rFonts w:ascii="Times New Roman" w:eastAsia="Times New Roman" w:hAnsi="Times New Roman" w:cs="Times New Roman"/>
          <w:b/>
          <w:i/>
          <w:sz w:val="24"/>
          <w:szCs w:val="24"/>
        </w:rPr>
        <w:t xml:space="preserve"> by Source</w:t>
      </w:r>
    </w:p>
    <w:p w:rsidR="0058378A" w:rsidRPr="0058378A" w:rsidRDefault="0058378A" w:rsidP="0058378A">
      <w:pPr>
        <w:keepNext/>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The majority of cases were referred to OTA via filing Form DOF-911 through the OTA section of the DOF website (231 cases and inquiries), or through 311 referrals (201 cases and inquiries). Another 141 cases and inquiries were received via direct telephone calls to OTA.</w:t>
      </w:r>
    </w:p>
    <w:p w:rsidR="002E3CAD" w:rsidRPr="00FB16A0" w:rsidRDefault="004B796A" w:rsidP="004F2321">
      <w:pPr>
        <w:shd w:val="clear" w:color="auto" w:fill="FFFFFF"/>
        <w:spacing w:before="100" w:beforeAutospacing="1" w:after="100" w:afterAutospacing="1" w:line="300" w:lineRule="atLeast"/>
        <w:jc w:val="center"/>
        <w:rPr>
          <w:rFonts w:ascii="Times New Roman" w:eastAsia="Times New Roman" w:hAnsi="Times New Roman" w:cs="Times New Roman"/>
          <w:b/>
          <w:sz w:val="24"/>
          <w:szCs w:val="24"/>
        </w:rPr>
        <w:sectPr w:rsidR="002E3CAD" w:rsidRPr="00FB16A0" w:rsidSect="00E62E20">
          <w:type w:val="continuous"/>
          <w:pgSz w:w="12240" w:h="15840"/>
          <w:pgMar w:top="1440" w:right="1440" w:bottom="1440" w:left="1440" w:header="720" w:footer="720" w:gutter="0"/>
          <w:cols w:space="720"/>
          <w:docGrid w:linePitch="360"/>
        </w:sectPr>
      </w:pPr>
      <w:r w:rsidRPr="00FB16A0">
        <w:rPr>
          <w:rFonts w:ascii="Times New Roman" w:eastAsia="Times New Roman" w:hAnsi="Times New Roman" w:cs="Times New Roman"/>
          <w:b/>
          <w:i/>
          <w:noProof/>
          <w:sz w:val="24"/>
          <w:szCs w:val="24"/>
        </w:rPr>
        <w:drawing>
          <wp:inline distT="0" distB="0" distL="0" distR="0" wp14:anchorId="554595B2" wp14:editId="698CBB5B">
            <wp:extent cx="5867400" cy="32004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C624E" w:rsidRPr="00FB16A0" w:rsidRDefault="008C624E" w:rsidP="008C624E">
      <w:pPr>
        <w:shd w:val="clear" w:color="auto" w:fill="FFFFFF"/>
        <w:spacing w:before="100" w:beforeAutospacing="1" w:after="100" w:afterAutospacing="1" w:line="300" w:lineRule="atLeast"/>
        <w:rPr>
          <w:rFonts w:ascii="Times New Roman" w:eastAsia="Times New Roman" w:hAnsi="Times New Roman" w:cs="Times New Roman"/>
          <w:b/>
          <w:sz w:val="24"/>
          <w:szCs w:val="24"/>
          <w:u w:val="single"/>
        </w:rPr>
        <w:sectPr w:rsidR="008C624E" w:rsidRPr="00FB16A0" w:rsidSect="00E62E20">
          <w:type w:val="continuous"/>
          <w:pgSz w:w="12240" w:h="15840"/>
          <w:pgMar w:top="1440" w:right="1440" w:bottom="1440" w:left="1440" w:header="720" w:footer="720" w:gutter="0"/>
          <w:cols w:space="720"/>
          <w:docGrid w:linePitch="360"/>
        </w:sectPr>
      </w:pPr>
    </w:p>
    <w:p w:rsidR="00AA737E" w:rsidRPr="000B3247" w:rsidRDefault="00B73602" w:rsidP="00B73602">
      <w:pPr>
        <w:keepNext/>
        <w:shd w:val="clear" w:color="auto" w:fill="FFFFFF"/>
        <w:spacing w:before="100" w:beforeAutospacing="1" w:after="100" w:afterAutospacing="1" w:line="300" w:lineRule="atLeast"/>
        <w:rPr>
          <w:rFonts w:ascii="Times New Roman" w:eastAsia="Times New Roman" w:hAnsi="Times New Roman" w:cs="Times New Roman"/>
          <w:b/>
          <w:sz w:val="28"/>
          <w:szCs w:val="28"/>
          <w:u w:val="single"/>
        </w:rPr>
      </w:pPr>
      <w:bookmarkStart w:id="4" w:name="_Toc448260921"/>
      <w:r w:rsidRPr="000B3247">
        <w:rPr>
          <w:rFonts w:ascii="Times New Roman" w:eastAsia="Times New Roman" w:hAnsi="Times New Roman" w:cs="Times New Roman"/>
          <w:b/>
          <w:sz w:val="28"/>
          <w:szCs w:val="28"/>
          <w:u w:val="single"/>
        </w:rPr>
        <w:lastRenderedPageBreak/>
        <w:t xml:space="preserve">Part IV: </w:t>
      </w:r>
    </w:p>
    <w:p w:rsidR="00B73602" w:rsidRPr="000B3247" w:rsidRDefault="00B73602" w:rsidP="00B73602">
      <w:pPr>
        <w:keepNext/>
        <w:rPr>
          <w:rFonts w:ascii="Times New Roman" w:hAnsi="Times New Roman" w:cs="Times New Roman"/>
          <w:b/>
          <w:sz w:val="28"/>
          <w:szCs w:val="28"/>
          <w:u w:val="single"/>
        </w:rPr>
      </w:pPr>
      <w:r w:rsidRPr="000B3247">
        <w:rPr>
          <w:rFonts w:ascii="Times New Roman" w:hAnsi="Times New Roman" w:cs="Times New Roman"/>
          <w:b/>
          <w:sz w:val="28"/>
          <w:szCs w:val="28"/>
          <w:u w:val="single"/>
        </w:rPr>
        <w:t>Recommendations</w:t>
      </w:r>
      <w:r w:rsidR="00AA737E" w:rsidRPr="000B3247">
        <w:rPr>
          <w:rFonts w:ascii="Times New Roman" w:hAnsi="Times New Roman" w:cs="Times New Roman"/>
          <w:b/>
          <w:sz w:val="28"/>
          <w:szCs w:val="28"/>
          <w:u w:val="single"/>
        </w:rPr>
        <w:t xml:space="preserve"> for the Current Reporting Period</w:t>
      </w:r>
    </w:p>
    <w:p w:rsidR="00B73602" w:rsidRDefault="00B73602" w:rsidP="00B73602">
      <w:pPr>
        <w:rPr>
          <w:rFonts w:ascii="Times New Roman" w:hAnsi="Times New Roman" w:cs="Times New Roman"/>
          <w:sz w:val="24"/>
          <w:szCs w:val="24"/>
        </w:rPr>
      </w:pPr>
      <w:r>
        <w:rPr>
          <w:rFonts w:ascii="Times New Roman" w:hAnsi="Times New Roman" w:cs="Times New Roman"/>
          <w:sz w:val="24"/>
          <w:szCs w:val="24"/>
        </w:rPr>
        <w:t xml:space="preserve">For the reporting period March 31, 2016 to April 1, 2017, OTA has identified and analyzed new issues and </w:t>
      </w:r>
      <w:r w:rsidR="00F5794C">
        <w:rPr>
          <w:rFonts w:ascii="Times New Roman" w:hAnsi="Times New Roman" w:cs="Times New Roman"/>
          <w:sz w:val="24"/>
          <w:szCs w:val="24"/>
        </w:rPr>
        <w:t>has issued</w:t>
      </w:r>
      <w:r>
        <w:rPr>
          <w:rFonts w:ascii="Times New Roman" w:hAnsi="Times New Roman" w:cs="Times New Roman"/>
          <w:sz w:val="24"/>
          <w:szCs w:val="24"/>
        </w:rPr>
        <w:t xml:space="preserve"> recommendations </w:t>
      </w:r>
      <w:r w:rsidR="00AA737E">
        <w:rPr>
          <w:rFonts w:ascii="Times New Roman" w:hAnsi="Times New Roman" w:cs="Times New Roman"/>
          <w:sz w:val="24"/>
          <w:szCs w:val="24"/>
        </w:rPr>
        <w:t xml:space="preserve">for corrective measures </w:t>
      </w:r>
      <w:r>
        <w:rPr>
          <w:rFonts w:ascii="Times New Roman" w:hAnsi="Times New Roman" w:cs="Times New Roman"/>
          <w:sz w:val="24"/>
          <w:szCs w:val="24"/>
        </w:rPr>
        <w:t>to mitigate problems encountered by NYC taxpayers and property owners. The issues identified have been categorized into three main sections: those related to (1) DOF taxpayer communication and outreach; (2) DOF rules, policies and procedures</w:t>
      </w:r>
      <w:r w:rsidR="000B3247">
        <w:rPr>
          <w:rFonts w:ascii="Times New Roman" w:hAnsi="Times New Roman" w:cs="Times New Roman"/>
          <w:sz w:val="24"/>
          <w:szCs w:val="24"/>
        </w:rPr>
        <w:t>;</w:t>
      </w:r>
      <w:r>
        <w:rPr>
          <w:rFonts w:ascii="Times New Roman" w:hAnsi="Times New Roman" w:cs="Times New Roman"/>
          <w:sz w:val="24"/>
          <w:szCs w:val="24"/>
        </w:rPr>
        <w:t xml:space="preserve"> and (3) DOF systems and technology. </w:t>
      </w:r>
    </w:p>
    <w:p w:rsidR="00B73602" w:rsidRPr="004805FF" w:rsidRDefault="00B73602" w:rsidP="00B73602">
      <w:pPr>
        <w:rPr>
          <w:rFonts w:ascii="Times New Roman" w:hAnsi="Times New Roman" w:cs="Times New Roman"/>
          <w:sz w:val="28"/>
          <w:szCs w:val="28"/>
        </w:rPr>
      </w:pPr>
    </w:p>
    <w:p w:rsidR="00CA35FB" w:rsidRPr="00CA35FB" w:rsidRDefault="00B73602" w:rsidP="00CA35FB">
      <w:pPr>
        <w:pStyle w:val="ListParagraph"/>
        <w:keepNext/>
        <w:numPr>
          <w:ilvl w:val="0"/>
          <w:numId w:val="17"/>
        </w:numPr>
        <w:rPr>
          <w:rFonts w:ascii="Times New Roman" w:hAnsi="Times New Roman" w:cs="Times New Roman"/>
          <w:b/>
          <w:sz w:val="28"/>
          <w:szCs w:val="28"/>
          <w:u w:val="single"/>
        </w:rPr>
      </w:pPr>
      <w:r w:rsidRPr="004805FF">
        <w:rPr>
          <w:rFonts w:ascii="Times New Roman" w:hAnsi="Times New Roman" w:cs="Times New Roman"/>
          <w:b/>
          <w:sz w:val="28"/>
          <w:szCs w:val="28"/>
          <w:u w:val="single"/>
        </w:rPr>
        <w:t>DOF Taxpayer Communications and Outreach</w:t>
      </w:r>
    </w:p>
    <w:p w:rsidR="00EF40D3" w:rsidRDefault="000B3247" w:rsidP="00CA35FB">
      <w:pPr>
        <w:keepNext/>
        <w:spacing w:after="0"/>
        <w:rPr>
          <w:rFonts w:ascii="Times New Roman" w:hAnsi="Times New Roman" w:cs="Times New Roman"/>
          <w:sz w:val="24"/>
          <w:szCs w:val="24"/>
        </w:rPr>
      </w:pPr>
      <w:r>
        <w:rPr>
          <w:rFonts w:ascii="Times New Roman" w:hAnsi="Times New Roman" w:cs="Times New Roman"/>
          <w:sz w:val="24"/>
          <w:szCs w:val="24"/>
        </w:rPr>
        <w:t xml:space="preserve">One of DOF’s major challenges is how to </w:t>
      </w:r>
      <w:r w:rsidR="00F5794C">
        <w:rPr>
          <w:rFonts w:ascii="Times New Roman" w:hAnsi="Times New Roman" w:cs="Times New Roman"/>
          <w:sz w:val="24"/>
          <w:szCs w:val="24"/>
        </w:rPr>
        <w:t xml:space="preserve">best </w:t>
      </w:r>
      <w:r>
        <w:rPr>
          <w:rFonts w:ascii="Times New Roman" w:hAnsi="Times New Roman" w:cs="Times New Roman"/>
          <w:sz w:val="24"/>
          <w:szCs w:val="24"/>
        </w:rPr>
        <w:t xml:space="preserve">communicate with taxpayers. </w:t>
      </w:r>
      <w:r w:rsidR="00CF5D52">
        <w:rPr>
          <w:rFonts w:ascii="Times New Roman" w:hAnsi="Times New Roman" w:cs="Times New Roman"/>
          <w:sz w:val="24"/>
          <w:szCs w:val="24"/>
        </w:rPr>
        <w:t xml:space="preserve">Many </w:t>
      </w:r>
      <w:r w:rsidR="00EF40D3">
        <w:rPr>
          <w:rFonts w:ascii="Times New Roman" w:hAnsi="Times New Roman" w:cs="Times New Roman"/>
          <w:sz w:val="24"/>
          <w:szCs w:val="24"/>
        </w:rPr>
        <w:t xml:space="preserve">of the inquiries and complaints </w:t>
      </w:r>
      <w:r w:rsidR="00CF5D52">
        <w:rPr>
          <w:rFonts w:ascii="Times New Roman" w:hAnsi="Times New Roman" w:cs="Times New Roman"/>
          <w:sz w:val="24"/>
          <w:szCs w:val="24"/>
        </w:rPr>
        <w:t xml:space="preserve">that are directed to OTA were initially raised through </w:t>
      </w:r>
      <w:r>
        <w:rPr>
          <w:rFonts w:ascii="Times New Roman" w:hAnsi="Times New Roman" w:cs="Times New Roman"/>
          <w:sz w:val="24"/>
          <w:szCs w:val="24"/>
        </w:rPr>
        <w:t xml:space="preserve">DOF’s normal </w:t>
      </w:r>
      <w:r>
        <w:rPr>
          <w:rFonts w:ascii="Times New Roman" w:hAnsi="Times New Roman" w:cs="Times New Roman"/>
          <w:sz w:val="24"/>
          <w:szCs w:val="24"/>
        </w:rPr>
        <w:lastRenderedPageBreak/>
        <w:t>channels</w:t>
      </w:r>
      <w:r w:rsidR="00EF40D3">
        <w:rPr>
          <w:rFonts w:ascii="Times New Roman" w:hAnsi="Times New Roman" w:cs="Times New Roman"/>
          <w:sz w:val="24"/>
          <w:szCs w:val="24"/>
        </w:rPr>
        <w:t xml:space="preserve"> </w:t>
      </w:r>
      <w:r w:rsidR="00CF5D52">
        <w:rPr>
          <w:rFonts w:ascii="Times New Roman" w:hAnsi="Times New Roman" w:cs="Times New Roman"/>
          <w:sz w:val="24"/>
          <w:szCs w:val="24"/>
        </w:rPr>
        <w:t xml:space="preserve">but remain unresolved </w:t>
      </w:r>
      <w:r w:rsidR="00EF40D3">
        <w:rPr>
          <w:rFonts w:ascii="Times New Roman" w:hAnsi="Times New Roman" w:cs="Times New Roman"/>
          <w:sz w:val="24"/>
          <w:szCs w:val="24"/>
        </w:rPr>
        <w:t>due to communications issu</w:t>
      </w:r>
      <w:r w:rsidR="00CF5D52">
        <w:rPr>
          <w:rFonts w:ascii="Times New Roman" w:hAnsi="Times New Roman" w:cs="Times New Roman"/>
          <w:sz w:val="24"/>
          <w:szCs w:val="24"/>
        </w:rPr>
        <w:t xml:space="preserve">es. This section discusses the most </w:t>
      </w:r>
      <w:r w:rsidR="00EF40D3">
        <w:rPr>
          <w:rFonts w:ascii="Times New Roman" w:hAnsi="Times New Roman" w:cs="Times New Roman"/>
          <w:sz w:val="24"/>
          <w:szCs w:val="24"/>
        </w:rPr>
        <w:t>common issues</w:t>
      </w:r>
      <w:r w:rsidR="00CF5D52">
        <w:rPr>
          <w:rFonts w:ascii="Times New Roman" w:hAnsi="Times New Roman" w:cs="Times New Roman"/>
          <w:sz w:val="24"/>
          <w:szCs w:val="24"/>
        </w:rPr>
        <w:t xml:space="preserve"> and </w:t>
      </w:r>
      <w:r w:rsidR="00EF40D3">
        <w:rPr>
          <w:rFonts w:ascii="Times New Roman" w:hAnsi="Times New Roman" w:cs="Times New Roman"/>
          <w:sz w:val="24"/>
          <w:szCs w:val="24"/>
        </w:rPr>
        <w:t>provides suggested solutions.</w:t>
      </w:r>
    </w:p>
    <w:p w:rsidR="00EF40D3" w:rsidRDefault="00EF40D3" w:rsidP="008160F5">
      <w:pPr>
        <w:spacing w:after="0"/>
        <w:rPr>
          <w:rFonts w:ascii="Times New Roman" w:hAnsi="Times New Roman" w:cs="Times New Roman"/>
          <w:b/>
          <w:i/>
          <w:sz w:val="24"/>
          <w:szCs w:val="24"/>
          <w:highlight w:val="yellow"/>
        </w:rPr>
      </w:pPr>
    </w:p>
    <w:p w:rsidR="00EF40D3" w:rsidRPr="00EF40D3" w:rsidRDefault="00F36314" w:rsidP="00CA35FB">
      <w:pPr>
        <w:keepNext/>
        <w:spacing w:after="0"/>
        <w:rPr>
          <w:rFonts w:ascii="Times New Roman" w:hAnsi="Times New Roman" w:cs="Times New Roman"/>
          <w:sz w:val="24"/>
          <w:szCs w:val="24"/>
        </w:rPr>
      </w:pPr>
      <w:r>
        <w:rPr>
          <w:rFonts w:ascii="Times New Roman" w:hAnsi="Times New Roman" w:cs="Times New Roman"/>
          <w:b/>
          <w:i/>
          <w:sz w:val="24"/>
          <w:szCs w:val="24"/>
        </w:rPr>
        <w:t>Property Owners’</w:t>
      </w:r>
      <w:r w:rsidR="00EF40D3">
        <w:rPr>
          <w:rFonts w:ascii="Times New Roman" w:hAnsi="Times New Roman" w:cs="Times New Roman"/>
          <w:b/>
          <w:i/>
          <w:sz w:val="24"/>
          <w:szCs w:val="24"/>
        </w:rPr>
        <w:t xml:space="preserve"> Understanding of</w:t>
      </w:r>
      <w:r w:rsidR="00CA35FB" w:rsidRPr="00EF40D3">
        <w:rPr>
          <w:rFonts w:ascii="Times New Roman" w:hAnsi="Times New Roman" w:cs="Times New Roman"/>
          <w:b/>
          <w:i/>
          <w:sz w:val="24"/>
          <w:szCs w:val="24"/>
        </w:rPr>
        <w:t xml:space="preserve"> How Their Tax Is Calculated or How Their Tax Benefits Work</w:t>
      </w:r>
      <w:r w:rsidR="00CA35FB" w:rsidRPr="00EF40D3">
        <w:rPr>
          <w:rFonts w:ascii="Times New Roman" w:hAnsi="Times New Roman" w:cs="Times New Roman"/>
          <w:sz w:val="24"/>
          <w:szCs w:val="24"/>
        </w:rPr>
        <w:t xml:space="preserve"> </w:t>
      </w:r>
    </w:p>
    <w:p w:rsidR="00EF40D3" w:rsidRDefault="00EF40D3" w:rsidP="00CA35FB">
      <w:pPr>
        <w:keepNext/>
        <w:spacing w:after="0"/>
        <w:rPr>
          <w:rFonts w:ascii="Times New Roman" w:hAnsi="Times New Roman" w:cs="Times New Roman"/>
          <w:sz w:val="24"/>
          <w:szCs w:val="24"/>
          <w:highlight w:val="yellow"/>
        </w:rPr>
      </w:pPr>
    </w:p>
    <w:p w:rsidR="00A557FA" w:rsidRDefault="00AA737E" w:rsidP="00CA35FB">
      <w:pPr>
        <w:keepNext/>
        <w:spacing w:after="0"/>
        <w:rPr>
          <w:rFonts w:ascii="Times New Roman" w:hAnsi="Times New Roman" w:cs="Times New Roman"/>
          <w:sz w:val="24"/>
          <w:szCs w:val="24"/>
        </w:rPr>
      </w:pPr>
      <w:r>
        <w:rPr>
          <w:rFonts w:ascii="Times New Roman" w:hAnsi="Times New Roman" w:cs="Times New Roman"/>
          <w:sz w:val="24"/>
          <w:szCs w:val="24"/>
        </w:rPr>
        <w:t xml:space="preserve">OTA receives many complaints from property owners who </w:t>
      </w:r>
      <w:r w:rsidR="00EF40D3" w:rsidRPr="00F36314">
        <w:rPr>
          <w:rFonts w:ascii="Times New Roman" w:hAnsi="Times New Roman" w:cs="Times New Roman"/>
          <w:sz w:val="24"/>
          <w:szCs w:val="24"/>
        </w:rPr>
        <w:t xml:space="preserve">do not understand how their </w:t>
      </w:r>
      <w:r w:rsidR="00F36314">
        <w:rPr>
          <w:rFonts w:ascii="Times New Roman" w:hAnsi="Times New Roman" w:cs="Times New Roman"/>
          <w:sz w:val="24"/>
          <w:szCs w:val="24"/>
        </w:rPr>
        <w:t xml:space="preserve">property </w:t>
      </w:r>
      <w:r w:rsidR="00EF40D3" w:rsidRPr="00F36314">
        <w:rPr>
          <w:rFonts w:ascii="Times New Roman" w:hAnsi="Times New Roman" w:cs="Times New Roman"/>
          <w:sz w:val="24"/>
          <w:szCs w:val="24"/>
        </w:rPr>
        <w:t>tax is calculated.</w:t>
      </w:r>
      <w:r w:rsidR="004C15B5" w:rsidRPr="00F36314">
        <w:rPr>
          <w:rStyle w:val="FootnoteReference"/>
          <w:rFonts w:ascii="Times New Roman" w:hAnsi="Times New Roman" w:cs="Times New Roman"/>
          <w:sz w:val="24"/>
          <w:szCs w:val="24"/>
        </w:rPr>
        <w:footnoteReference w:id="9"/>
      </w:r>
      <w:r w:rsidR="00F36314" w:rsidRPr="00F36314">
        <w:rPr>
          <w:rFonts w:ascii="Times New Roman" w:hAnsi="Times New Roman" w:cs="Times New Roman"/>
          <w:sz w:val="24"/>
          <w:szCs w:val="24"/>
        </w:rPr>
        <w:t xml:space="preserve"> </w:t>
      </w:r>
      <w:r w:rsidR="00CF5D52">
        <w:rPr>
          <w:rFonts w:ascii="Times New Roman" w:hAnsi="Times New Roman" w:cs="Times New Roman"/>
          <w:sz w:val="24"/>
          <w:szCs w:val="24"/>
        </w:rPr>
        <w:t>Some</w:t>
      </w:r>
      <w:r w:rsidR="00F36314">
        <w:rPr>
          <w:rFonts w:ascii="Times New Roman" w:hAnsi="Times New Roman" w:cs="Times New Roman"/>
          <w:sz w:val="24"/>
          <w:szCs w:val="24"/>
        </w:rPr>
        <w:t xml:space="preserve"> </w:t>
      </w:r>
      <w:r>
        <w:rPr>
          <w:rFonts w:ascii="Times New Roman" w:hAnsi="Times New Roman" w:cs="Times New Roman"/>
          <w:sz w:val="24"/>
          <w:szCs w:val="24"/>
        </w:rPr>
        <w:t xml:space="preserve">issues relate to </w:t>
      </w:r>
      <w:r w:rsidR="00F36314">
        <w:rPr>
          <w:rFonts w:ascii="Times New Roman" w:hAnsi="Times New Roman" w:cs="Times New Roman"/>
          <w:sz w:val="24"/>
          <w:szCs w:val="24"/>
        </w:rPr>
        <w:t xml:space="preserve">unclear </w:t>
      </w:r>
      <w:r w:rsidR="00CF5D52">
        <w:rPr>
          <w:rFonts w:ascii="Times New Roman" w:hAnsi="Times New Roman" w:cs="Times New Roman"/>
          <w:sz w:val="24"/>
          <w:szCs w:val="24"/>
        </w:rPr>
        <w:t xml:space="preserve">notices for which the taxpayer </w:t>
      </w:r>
      <w:r w:rsidR="00F36314">
        <w:rPr>
          <w:rFonts w:ascii="Times New Roman" w:hAnsi="Times New Roman" w:cs="Times New Roman"/>
          <w:sz w:val="24"/>
          <w:szCs w:val="24"/>
        </w:rPr>
        <w:t>cannot find an explanation via the DOF website</w:t>
      </w:r>
      <w:r w:rsidR="00CF5D52">
        <w:rPr>
          <w:rFonts w:ascii="Times New Roman" w:hAnsi="Times New Roman" w:cs="Times New Roman"/>
          <w:sz w:val="24"/>
          <w:szCs w:val="24"/>
        </w:rPr>
        <w:t xml:space="preserve">, </w:t>
      </w:r>
      <w:r>
        <w:rPr>
          <w:rFonts w:ascii="Times New Roman" w:hAnsi="Times New Roman" w:cs="Times New Roman"/>
          <w:sz w:val="24"/>
          <w:szCs w:val="24"/>
        </w:rPr>
        <w:t>or</w:t>
      </w:r>
      <w:r w:rsidR="00F36314">
        <w:rPr>
          <w:rFonts w:ascii="Times New Roman" w:hAnsi="Times New Roman" w:cs="Times New Roman"/>
          <w:sz w:val="24"/>
          <w:szCs w:val="24"/>
        </w:rPr>
        <w:t xml:space="preserve"> needs </w:t>
      </w:r>
      <w:r>
        <w:rPr>
          <w:rFonts w:ascii="Times New Roman" w:hAnsi="Times New Roman" w:cs="Times New Roman"/>
          <w:sz w:val="24"/>
          <w:szCs w:val="24"/>
        </w:rPr>
        <w:t>additional assistance understanding.</w:t>
      </w:r>
      <w:r w:rsidR="00971EAC">
        <w:rPr>
          <w:rFonts w:ascii="Times New Roman" w:hAnsi="Times New Roman" w:cs="Times New Roman"/>
          <w:sz w:val="24"/>
          <w:szCs w:val="24"/>
        </w:rPr>
        <w:t xml:space="preserve"> </w:t>
      </w:r>
    </w:p>
    <w:p w:rsidR="00F36314" w:rsidRPr="00F36314" w:rsidRDefault="00F36314" w:rsidP="00F36314">
      <w:pPr>
        <w:spacing w:after="0"/>
        <w:rPr>
          <w:rFonts w:ascii="Times New Roman" w:hAnsi="Times New Roman" w:cs="Times New Roman"/>
          <w:sz w:val="24"/>
          <w:szCs w:val="24"/>
        </w:rPr>
      </w:pPr>
    </w:p>
    <w:p w:rsidR="00CA35FB" w:rsidRDefault="00F36314" w:rsidP="008160F5">
      <w:pPr>
        <w:keepNext/>
        <w:spacing w:after="0"/>
        <w:rPr>
          <w:rFonts w:ascii="Times New Roman" w:eastAsiaTheme="minorEastAsia" w:hAnsi="Times New Roman" w:cs="Times New Roman"/>
          <w:kern w:val="24"/>
          <w:sz w:val="24"/>
          <w:szCs w:val="24"/>
          <w:u w:val="single"/>
        </w:rPr>
      </w:pPr>
      <w:r w:rsidRPr="008E4A81">
        <w:rPr>
          <w:rFonts w:ascii="Times New Roman" w:eastAsiaTheme="minorEastAsia" w:hAnsi="Times New Roman" w:cs="Times New Roman"/>
          <w:kern w:val="24"/>
          <w:sz w:val="24"/>
          <w:szCs w:val="24"/>
          <w:u w:val="single"/>
        </w:rPr>
        <w:t>Recommendation</w:t>
      </w:r>
      <w:r w:rsidR="00A22B09">
        <w:rPr>
          <w:rFonts w:ascii="Times New Roman" w:eastAsiaTheme="minorEastAsia" w:hAnsi="Times New Roman" w:cs="Times New Roman"/>
          <w:kern w:val="24"/>
          <w:sz w:val="24"/>
          <w:szCs w:val="24"/>
          <w:u w:val="single"/>
        </w:rPr>
        <w:t>s</w:t>
      </w:r>
      <w:r w:rsidRPr="008E4A81">
        <w:rPr>
          <w:rFonts w:ascii="Times New Roman" w:eastAsiaTheme="minorEastAsia" w:hAnsi="Times New Roman" w:cs="Times New Roman"/>
          <w:kern w:val="24"/>
          <w:sz w:val="24"/>
          <w:szCs w:val="24"/>
          <w:u w:val="single"/>
        </w:rPr>
        <w:t>:</w:t>
      </w:r>
    </w:p>
    <w:p w:rsidR="008160F5" w:rsidRPr="008E4A81" w:rsidRDefault="008160F5" w:rsidP="008160F5">
      <w:pPr>
        <w:keepNext/>
        <w:spacing w:after="0"/>
        <w:rPr>
          <w:rFonts w:ascii="Times New Roman" w:eastAsiaTheme="minorEastAsia" w:hAnsi="Times New Roman" w:cs="Times New Roman"/>
          <w:kern w:val="24"/>
          <w:sz w:val="24"/>
          <w:szCs w:val="24"/>
          <w:u w:val="single"/>
        </w:rPr>
      </w:pPr>
    </w:p>
    <w:p w:rsidR="00C92B9C" w:rsidRDefault="000B3247" w:rsidP="008E4A81">
      <w:pPr>
        <w:spacing w:after="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 xml:space="preserve">DOF should continue its outreach through publications and information sessions. </w:t>
      </w:r>
      <w:r w:rsidR="00F36314" w:rsidRPr="008E4A81">
        <w:rPr>
          <w:rFonts w:ascii="Times New Roman" w:eastAsiaTheme="minorEastAsia" w:hAnsi="Times New Roman" w:cs="Times New Roman"/>
          <w:kern w:val="24"/>
          <w:sz w:val="24"/>
          <w:szCs w:val="24"/>
        </w:rPr>
        <w:t xml:space="preserve">OTA has </w:t>
      </w:r>
      <w:r>
        <w:rPr>
          <w:rFonts w:ascii="Times New Roman" w:eastAsiaTheme="minorEastAsia" w:hAnsi="Times New Roman" w:cs="Times New Roman"/>
          <w:kern w:val="24"/>
          <w:sz w:val="24"/>
          <w:szCs w:val="24"/>
        </w:rPr>
        <w:t xml:space="preserve">also </w:t>
      </w:r>
      <w:r w:rsidR="00F36314" w:rsidRPr="008E4A81">
        <w:rPr>
          <w:rFonts w:ascii="Times New Roman" w:eastAsiaTheme="minorEastAsia" w:hAnsi="Times New Roman" w:cs="Times New Roman"/>
          <w:kern w:val="24"/>
          <w:sz w:val="24"/>
          <w:szCs w:val="24"/>
        </w:rPr>
        <w:t xml:space="preserve">created </w:t>
      </w:r>
      <w:r w:rsidR="008E4A81" w:rsidRPr="008E4A81">
        <w:rPr>
          <w:rFonts w:ascii="Times New Roman" w:eastAsiaTheme="minorEastAsia" w:hAnsi="Times New Roman" w:cs="Times New Roman"/>
          <w:kern w:val="24"/>
          <w:sz w:val="24"/>
          <w:szCs w:val="24"/>
        </w:rPr>
        <w:t>a simplified</w:t>
      </w:r>
      <w:r w:rsidR="00EB0789">
        <w:rPr>
          <w:rFonts w:ascii="Times New Roman" w:eastAsiaTheme="minorEastAsia" w:hAnsi="Times New Roman" w:cs="Times New Roman"/>
          <w:kern w:val="24"/>
          <w:sz w:val="24"/>
          <w:szCs w:val="24"/>
        </w:rPr>
        <w:t>,</w:t>
      </w:r>
      <w:r w:rsidR="008E4A81" w:rsidRPr="008E4A81">
        <w:rPr>
          <w:rFonts w:ascii="Times New Roman" w:eastAsiaTheme="minorEastAsia" w:hAnsi="Times New Roman" w:cs="Times New Roman"/>
          <w:kern w:val="24"/>
          <w:sz w:val="24"/>
          <w:szCs w:val="24"/>
        </w:rPr>
        <w:t xml:space="preserve"> one-page document outlining property tax basics</w:t>
      </w:r>
      <w:r w:rsidR="00F36314" w:rsidRPr="008E4A81">
        <w:rPr>
          <w:rFonts w:ascii="Times New Roman" w:eastAsiaTheme="minorEastAsia" w:hAnsi="Times New Roman" w:cs="Times New Roman"/>
          <w:kern w:val="24"/>
          <w:sz w:val="24"/>
          <w:szCs w:val="24"/>
        </w:rPr>
        <w:t>.</w:t>
      </w:r>
      <w:r w:rsidR="00971EAC">
        <w:rPr>
          <w:rFonts w:ascii="Times New Roman" w:eastAsiaTheme="minorEastAsia" w:hAnsi="Times New Roman" w:cs="Times New Roman"/>
          <w:kern w:val="24"/>
          <w:sz w:val="24"/>
          <w:szCs w:val="24"/>
        </w:rPr>
        <w:t xml:space="preserve"> </w:t>
      </w:r>
      <w:r>
        <w:rPr>
          <w:rFonts w:ascii="Times New Roman" w:eastAsiaTheme="minorEastAsia" w:hAnsi="Times New Roman" w:cs="Times New Roman"/>
          <w:kern w:val="24"/>
          <w:sz w:val="24"/>
          <w:szCs w:val="24"/>
        </w:rPr>
        <w:t xml:space="preserve">However, </w:t>
      </w:r>
      <w:r w:rsidR="00CF5D52">
        <w:rPr>
          <w:rFonts w:ascii="Times New Roman" w:eastAsiaTheme="minorEastAsia" w:hAnsi="Times New Roman" w:cs="Times New Roman"/>
          <w:kern w:val="24"/>
          <w:sz w:val="24"/>
          <w:szCs w:val="24"/>
        </w:rPr>
        <w:t xml:space="preserve">NYC’s </w:t>
      </w:r>
      <w:r>
        <w:rPr>
          <w:rFonts w:ascii="Times New Roman" w:eastAsiaTheme="minorEastAsia" w:hAnsi="Times New Roman" w:cs="Times New Roman"/>
          <w:kern w:val="24"/>
          <w:sz w:val="24"/>
          <w:szCs w:val="24"/>
        </w:rPr>
        <w:t xml:space="preserve">property tax system is </w:t>
      </w:r>
      <w:r w:rsidR="00CF5D52">
        <w:rPr>
          <w:rFonts w:ascii="Times New Roman" w:eastAsiaTheme="minorEastAsia" w:hAnsi="Times New Roman" w:cs="Times New Roman"/>
          <w:kern w:val="24"/>
          <w:sz w:val="24"/>
          <w:szCs w:val="24"/>
        </w:rPr>
        <w:t xml:space="preserve">highly </w:t>
      </w:r>
      <w:r>
        <w:rPr>
          <w:rFonts w:ascii="Times New Roman" w:eastAsiaTheme="minorEastAsia" w:hAnsi="Times New Roman" w:cs="Times New Roman"/>
          <w:kern w:val="24"/>
          <w:sz w:val="24"/>
          <w:szCs w:val="24"/>
        </w:rPr>
        <w:t>complex</w:t>
      </w:r>
      <w:r w:rsidR="00EC6595">
        <w:rPr>
          <w:rFonts w:ascii="Times New Roman" w:eastAsiaTheme="minorEastAsia" w:hAnsi="Times New Roman" w:cs="Times New Roman"/>
          <w:kern w:val="24"/>
          <w:sz w:val="24"/>
          <w:szCs w:val="24"/>
        </w:rPr>
        <w:t xml:space="preserve"> and</w:t>
      </w:r>
      <w:r w:rsidR="00CF5D52">
        <w:rPr>
          <w:rFonts w:ascii="Times New Roman" w:eastAsiaTheme="minorEastAsia" w:hAnsi="Times New Roman" w:cs="Times New Roman"/>
          <w:kern w:val="24"/>
          <w:sz w:val="24"/>
          <w:szCs w:val="24"/>
        </w:rPr>
        <w:t xml:space="preserve"> many have called for reforms to make it easier to understand. </w:t>
      </w:r>
    </w:p>
    <w:p w:rsidR="00CF5D52" w:rsidRDefault="00CF5D52" w:rsidP="008E4A81">
      <w:pPr>
        <w:spacing w:after="0"/>
        <w:rPr>
          <w:rFonts w:ascii="Times New Roman" w:eastAsiaTheme="minorEastAsia" w:hAnsi="Times New Roman" w:cs="Times New Roman"/>
          <w:b/>
          <w:i/>
          <w:kern w:val="24"/>
          <w:sz w:val="24"/>
          <w:szCs w:val="24"/>
        </w:rPr>
      </w:pPr>
    </w:p>
    <w:p w:rsidR="00B73602" w:rsidRPr="004805FF" w:rsidRDefault="00205BC2" w:rsidP="00B73602">
      <w:pPr>
        <w:keepNext/>
        <w:spacing w:after="0"/>
        <w:rPr>
          <w:rFonts w:ascii="Times New Roman" w:eastAsiaTheme="minorEastAsia" w:hAnsi="Times New Roman" w:cs="Times New Roman"/>
          <w:b/>
          <w:i/>
          <w:kern w:val="24"/>
          <w:sz w:val="24"/>
          <w:szCs w:val="24"/>
        </w:rPr>
      </w:pPr>
      <w:r>
        <w:rPr>
          <w:rFonts w:ascii="Times New Roman" w:eastAsiaTheme="minorEastAsia" w:hAnsi="Times New Roman" w:cs="Times New Roman"/>
          <w:b/>
          <w:i/>
          <w:kern w:val="24"/>
          <w:sz w:val="24"/>
          <w:szCs w:val="24"/>
        </w:rPr>
        <w:t>Property Owners’ Understanding of Their Property Tax Bills</w:t>
      </w:r>
    </w:p>
    <w:p w:rsidR="00B73602" w:rsidRPr="0058378A" w:rsidRDefault="00B73602" w:rsidP="00B73602">
      <w:pPr>
        <w:keepNext/>
        <w:spacing w:after="0"/>
        <w:rPr>
          <w:rFonts w:ascii="Times New Roman" w:eastAsiaTheme="minorEastAsia" w:hAnsi="Times New Roman" w:cs="Times New Roman"/>
          <w:b/>
          <w:kern w:val="24"/>
          <w:sz w:val="28"/>
          <w:szCs w:val="28"/>
        </w:rPr>
      </w:pPr>
    </w:p>
    <w:p w:rsidR="00C92B9C" w:rsidRDefault="00F64795" w:rsidP="00B73602">
      <w:pPr>
        <w:spacing w:after="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DOF provides extensive property-</w:t>
      </w:r>
      <w:r w:rsidR="00B73602">
        <w:rPr>
          <w:rFonts w:ascii="Times New Roman" w:eastAsiaTheme="minorEastAsia" w:hAnsi="Times New Roman" w:cs="Times New Roman"/>
          <w:kern w:val="24"/>
          <w:sz w:val="24"/>
          <w:szCs w:val="24"/>
        </w:rPr>
        <w:t>related information and online tools to help NYC property owners understand and meet their property tax obligations.</w:t>
      </w:r>
      <w:r w:rsidR="00B73602">
        <w:rPr>
          <w:rStyle w:val="FootnoteReference"/>
          <w:rFonts w:ascii="Times New Roman" w:eastAsiaTheme="minorEastAsia" w:hAnsi="Times New Roman" w:cs="Times New Roman"/>
          <w:kern w:val="24"/>
          <w:sz w:val="24"/>
          <w:szCs w:val="24"/>
        </w:rPr>
        <w:footnoteReference w:id="10"/>
      </w:r>
      <w:r w:rsidR="00B73602">
        <w:rPr>
          <w:rFonts w:ascii="Times New Roman" w:eastAsiaTheme="minorEastAsia" w:hAnsi="Times New Roman" w:cs="Times New Roman"/>
          <w:kern w:val="24"/>
          <w:sz w:val="24"/>
          <w:szCs w:val="24"/>
        </w:rPr>
        <w:t xml:space="preserve"> Owners can acc</w:t>
      </w:r>
      <w:r>
        <w:rPr>
          <w:rFonts w:ascii="Times New Roman" w:eastAsiaTheme="minorEastAsia" w:hAnsi="Times New Roman" w:cs="Times New Roman"/>
          <w:kern w:val="24"/>
          <w:sz w:val="24"/>
          <w:szCs w:val="24"/>
        </w:rPr>
        <w:t xml:space="preserve">ess property tax bills, obtain </w:t>
      </w:r>
      <w:r w:rsidR="00B73602">
        <w:rPr>
          <w:rFonts w:ascii="Times New Roman" w:eastAsiaTheme="minorEastAsia" w:hAnsi="Times New Roman" w:cs="Times New Roman"/>
          <w:kern w:val="24"/>
          <w:sz w:val="24"/>
          <w:szCs w:val="24"/>
        </w:rPr>
        <w:t>information on exemptions and abatements they may be eligible for, and learn how to challenge assessme</w:t>
      </w:r>
      <w:r>
        <w:rPr>
          <w:rFonts w:ascii="Times New Roman" w:eastAsiaTheme="minorEastAsia" w:hAnsi="Times New Roman" w:cs="Times New Roman"/>
          <w:kern w:val="24"/>
          <w:sz w:val="24"/>
          <w:szCs w:val="24"/>
        </w:rPr>
        <w:t xml:space="preserve">nts they believe are unfair. </w:t>
      </w:r>
      <w:r w:rsidR="00CF5D52">
        <w:rPr>
          <w:rFonts w:ascii="Times New Roman" w:eastAsiaTheme="minorEastAsia" w:hAnsi="Times New Roman" w:cs="Times New Roman"/>
          <w:kern w:val="24"/>
          <w:sz w:val="24"/>
          <w:szCs w:val="24"/>
        </w:rPr>
        <w:t>M</w:t>
      </w:r>
      <w:r w:rsidR="00C92B9C">
        <w:rPr>
          <w:rFonts w:ascii="Times New Roman" w:eastAsiaTheme="minorEastAsia" w:hAnsi="Times New Roman" w:cs="Times New Roman"/>
          <w:kern w:val="24"/>
          <w:sz w:val="24"/>
          <w:szCs w:val="24"/>
        </w:rPr>
        <w:t xml:space="preserve">any taxpayers </w:t>
      </w:r>
      <w:r w:rsidR="000466FC">
        <w:rPr>
          <w:rFonts w:ascii="Times New Roman" w:eastAsiaTheme="minorEastAsia" w:hAnsi="Times New Roman" w:cs="Times New Roman"/>
          <w:kern w:val="24"/>
          <w:sz w:val="24"/>
          <w:szCs w:val="24"/>
        </w:rPr>
        <w:t xml:space="preserve">contact OTA for </w:t>
      </w:r>
      <w:r w:rsidR="00CF5D52">
        <w:rPr>
          <w:rFonts w:ascii="Times New Roman" w:eastAsiaTheme="minorEastAsia" w:hAnsi="Times New Roman" w:cs="Times New Roman"/>
          <w:kern w:val="24"/>
          <w:sz w:val="24"/>
          <w:szCs w:val="24"/>
        </w:rPr>
        <w:t xml:space="preserve">an explanation </w:t>
      </w:r>
      <w:r w:rsidR="000466FC">
        <w:rPr>
          <w:rFonts w:ascii="Times New Roman" w:eastAsiaTheme="minorEastAsia" w:hAnsi="Times New Roman" w:cs="Times New Roman"/>
          <w:kern w:val="24"/>
          <w:sz w:val="24"/>
          <w:szCs w:val="24"/>
        </w:rPr>
        <w:t>of their property tax bill</w:t>
      </w:r>
      <w:r w:rsidR="00CF5D52">
        <w:rPr>
          <w:rFonts w:ascii="Times New Roman" w:eastAsiaTheme="minorEastAsia" w:hAnsi="Times New Roman" w:cs="Times New Roman"/>
          <w:kern w:val="24"/>
          <w:sz w:val="24"/>
          <w:szCs w:val="24"/>
        </w:rPr>
        <w:t>,</w:t>
      </w:r>
      <w:r w:rsidR="00C92B9C">
        <w:rPr>
          <w:rFonts w:ascii="Times New Roman" w:eastAsiaTheme="minorEastAsia" w:hAnsi="Times New Roman" w:cs="Times New Roman"/>
          <w:kern w:val="24"/>
          <w:sz w:val="24"/>
          <w:szCs w:val="24"/>
        </w:rPr>
        <w:t xml:space="preserve"> unaware</w:t>
      </w:r>
      <w:r w:rsidR="00CF5D52">
        <w:rPr>
          <w:rFonts w:ascii="Times New Roman" w:eastAsiaTheme="minorEastAsia" w:hAnsi="Times New Roman" w:cs="Times New Roman"/>
          <w:kern w:val="24"/>
          <w:sz w:val="24"/>
          <w:szCs w:val="24"/>
        </w:rPr>
        <w:t xml:space="preserve"> that this information is available on </w:t>
      </w:r>
      <w:r w:rsidR="00C92B9C">
        <w:rPr>
          <w:rFonts w:ascii="Times New Roman" w:eastAsiaTheme="minorEastAsia" w:hAnsi="Times New Roman" w:cs="Times New Roman"/>
          <w:kern w:val="24"/>
          <w:sz w:val="24"/>
          <w:szCs w:val="24"/>
        </w:rPr>
        <w:t xml:space="preserve">DOF’s website. </w:t>
      </w:r>
    </w:p>
    <w:p w:rsidR="00B73602" w:rsidRPr="002C0B38" w:rsidRDefault="00B73602" w:rsidP="00B73602">
      <w:pPr>
        <w:spacing w:after="0"/>
        <w:rPr>
          <w:rFonts w:ascii="Times New Roman" w:eastAsiaTheme="minorEastAsia" w:hAnsi="Times New Roman" w:cs="Times New Roman"/>
          <w:kern w:val="24"/>
          <w:sz w:val="24"/>
          <w:szCs w:val="24"/>
          <w:u w:val="single"/>
        </w:rPr>
      </w:pPr>
    </w:p>
    <w:p w:rsidR="0022244A" w:rsidRPr="002C0B38" w:rsidRDefault="0022244A" w:rsidP="008160F5">
      <w:pPr>
        <w:keepNext/>
        <w:spacing w:after="0"/>
        <w:rPr>
          <w:rFonts w:ascii="Times New Roman" w:eastAsiaTheme="minorEastAsia" w:hAnsi="Times New Roman" w:cs="Times New Roman"/>
          <w:kern w:val="24"/>
          <w:sz w:val="24"/>
          <w:szCs w:val="24"/>
          <w:u w:val="single"/>
        </w:rPr>
      </w:pPr>
      <w:r w:rsidRPr="002C0B38">
        <w:rPr>
          <w:rFonts w:ascii="Times New Roman" w:eastAsiaTheme="minorEastAsia" w:hAnsi="Times New Roman" w:cs="Times New Roman"/>
          <w:kern w:val="24"/>
          <w:sz w:val="24"/>
          <w:szCs w:val="24"/>
          <w:u w:val="single"/>
        </w:rPr>
        <w:t>Recommendation</w:t>
      </w:r>
      <w:r w:rsidR="00A22B09">
        <w:rPr>
          <w:rFonts w:ascii="Times New Roman" w:eastAsiaTheme="minorEastAsia" w:hAnsi="Times New Roman" w:cs="Times New Roman"/>
          <w:kern w:val="24"/>
          <w:sz w:val="24"/>
          <w:szCs w:val="24"/>
          <w:u w:val="single"/>
        </w:rPr>
        <w:t>s</w:t>
      </w:r>
      <w:r w:rsidRPr="002C0B38">
        <w:rPr>
          <w:rFonts w:ascii="Times New Roman" w:eastAsiaTheme="minorEastAsia" w:hAnsi="Times New Roman" w:cs="Times New Roman"/>
          <w:kern w:val="24"/>
          <w:sz w:val="24"/>
          <w:szCs w:val="24"/>
          <w:u w:val="single"/>
        </w:rPr>
        <w:t>:</w:t>
      </w:r>
    </w:p>
    <w:p w:rsidR="0022244A" w:rsidRDefault="0022244A" w:rsidP="008160F5">
      <w:pPr>
        <w:keepNext/>
        <w:spacing w:after="0"/>
        <w:rPr>
          <w:rFonts w:ascii="Times New Roman" w:eastAsiaTheme="minorEastAsia" w:hAnsi="Times New Roman" w:cs="Times New Roman"/>
          <w:kern w:val="24"/>
          <w:sz w:val="24"/>
          <w:szCs w:val="24"/>
        </w:rPr>
      </w:pPr>
    </w:p>
    <w:p w:rsidR="00B73602" w:rsidRDefault="00B73602" w:rsidP="00B73602">
      <w:pPr>
        <w:spacing w:after="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OTA recommends that DO</w:t>
      </w:r>
      <w:r w:rsidR="00D96A64">
        <w:rPr>
          <w:rFonts w:ascii="Times New Roman" w:eastAsiaTheme="minorEastAsia" w:hAnsi="Times New Roman" w:cs="Times New Roman"/>
          <w:kern w:val="24"/>
          <w:sz w:val="24"/>
          <w:szCs w:val="24"/>
        </w:rPr>
        <w:t>F explore ways to increase</w:t>
      </w:r>
      <w:r w:rsidR="0069096D">
        <w:rPr>
          <w:rFonts w:ascii="Times New Roman" w:eastAsiaTheme="minorEastAsia" w:hAnsi="Times New Roman" w:cs="Times New Roman"/>
          <w:kern w:val="24"/>
          <w:sz w:val="24"/>
          <w:szCs w:val="24"/>
        </w:rPr>
        <w:t xml:space="preserve"> awareness of the </w:t>
      </w:r>
      <w:r>
        <w:rPr>
          <w:rFonts w:ascii="Times New Roman" w:eastAsiaTheme="minorEastAsia" w:hAnsi="Times New Roman" w:cs="Times New Roman"/>
          <w:kern w:val="24"/>
          <w:sz w:val="24"/>
          <w:szCs w:val="24"/>
        </w:rPr>
        <w:t>NYCProperty website</w:t>
      </w:r>
      <w:r w:rsidR="0069096D">
        <w:rPr>
          <w:rFonts w:ascii="Times New Roman" w:eastAsiaTheme="minorEastAsia" w:hAnsi="Times New Roman" w:cs="Times New Roman"/>
          <w:kern w:val="24"/>
          <w:sz w:val="24"/>
          <w:szCs w:val="24"/>
        </w:rPr>
        <w:t>,</w:t>
      </w:r>
      <w:r>
        <w:rPr>
          <w:rFonts w:ascii="Times New Roman" w:eastAsiaTheme="minorEastAsia" w:hAnsi="Times New Roman" w:cs="Times New Roman"/>
          <w:kern w:val="24"/>
          <w:sz w:val="24"/>
          <w:szCs w:val="24"/>
        </w:rPr>
        <w:t xml:space="preserve"> such as including it on prope</w:t>
      </w:r>
      <w:r w:rsidR="0069096D">
        <w:rPr>
          <w:rFonts w:ascii="Times New Roman" w:eastAsiaTheme="minorEastAsia" w:hAnsi="Times New Roman" w:cs="Times New Roman"/>
          <w:kern w:val="24"/>
          <w:sz w:val="24"/>
          <w:szCs w:val="24"/>
        </w:rPr>
        <w:t xml:space="preserve">rty related forms and notices. </w:t>
      </w:r>
      <w:r>
        <w:rPr>
          <w:rFonts w:ascii="Times New Roman" w:eastAsiaTheme="minorEastAsia" w:hAnsi="Times New Roman" w:cs="Times New Roman"/>
          <w:kern w:val="24"/>
          <w:sz w:val="24"/>
          <w:szCs w:val="24"/>
        </w:rPr>
        <w:t xml:space="preserve">OTA recommends that DOF include the link on </w:t>
      </w:r>
      <w:r w:rsidR="0069096D">
        <w:rPr>
          <w:rFonts w:ascii="Times New Roman" w:eastAsiaTheme="minorEastAsia" w:hAnsi="Times New Roman" w:cs="Times New Roman"/>
          <w:kern w:val="24"/>
          <w:sz w:val="24"/>
          <w:szCs w:val="24"/>
        </w:rPr>
        <w:t>NOPVs and property tax bills</w:t>
      </w:r>
      <w:r w:rsidR="0022244A">
        <w:rPr>
          <w:rFonts w:ascii="Times New Roman" w:eastAsiaTheme="minorEastAsia" w:hAnsi="Times New Roman" w:cs="Times New Roman"/>
          <w:kern w:val="24"/>
          <w:sz w:val="24"/>
          <w:szCs w:val="24"/>
        </w:rPr>
        <w:t xml:space="preserve"> and determine which other forms would best benefit from including such information.</w:t>
      </w:r>
    </w:p>
    <w:p w:rsidR="0022244A" w:rsidRDefault="0022244A" w:rsidP="00B73602">
      <w:pPr>
        <w:spacing w:after="0"/>
        <w:rPr>
          <w:rFonts w:ascii="Times New Roman" w:hAnsi="Times New Roman" w:cs="Times New Roman"/>
          <w:sz w:val="24"/>
          <w:szCs w:val="24"/>
        </w:rPr>
      </w:pPr>
    </w:p>
    <w:p w:rsidR="00B73602" w:rsidRPr="00903F2A" w:rsidRDefault="00B73602" w:rsidP="00B73602">
      <w:pPr>
        <w:keepNext/>
        <w:spacing w:after="0"/>
        <w:rPr>
          <w:rFonts w:ascii="Times New Roman" w:eastAsiaTheme="minorEastAsia" w:hAnsi="Times New Roman" w:cs="Times New Roman"/>
          <w:b/>
          <w:kern w:val="24"/>
          <w:sz w:val="24"/>
          <w:szCs w:val="24"/>
        </w:rPr>
      </w:pPr>
      <w:r>
        <w:rPr>
          <w:rFonts w:ascii="Times New Roman" w:eastAsiaTheme="minorEastAsia" w:hAnsi="Times New Roman" w:cs="Times New Roman"/>
          <w:b/>
          <w:i/>
          <w:kern w:val="24"/>
          <w:sz w:val="24"/>
          <w:szCs w:val="24"/>
        </w:rPr>
        <w:lastRenderedPageBreak/>
        <w:t>Transparency in Request for Review Determinations</w:t>
      </w:r>
    </w:p>
    <w:p w:rsidR="00B73602" w:rsidRPr="00FB16A0" w:rsidRDefault="00B73602" w:rsidP="0006077F">
      <w:pPr>
        <w:keepNext/>
        <w:spacing w:after="0"/>
        <w:rPr>
          <w:rFonts w:ascii="Times New Roman" w:eastAsiaTheme="minorEastAsia" w:hAnsi="Times New Roman" w:cs="Times New Roman"/>
          <w:b/>
          <w:kern w:val="24"/>
          <w:sz w:val="24"/>
          <w:szCs w:val="24"/>
        </w:rPr>
      </w:pPr>
    </w:p>
    <w:p w:rsidR="00C92B9C" w:rsidRDefault="00B73602" w:rsidP="0006077F">
      <w:pPr>
        <w:spacing w:after="0"/>
        <w:rPr>
          <w:rFonts w:ascii="Times New Roman" w:hAnsi="Times New Roman" w:cs="Times New Roman"/>
          <w:sz w:val="24"/>
          <w:szCs w:val="24"/>
        </w:rPr>
      </w:pPr>
      <w:r w:rsidRPr="004B12BA">
        <w:rPr>
          <w:rFonts w:ascii="Times New Roman" w:hAnsi="Times New Roman" w:cs="Times New Roman"/>
          <w:sz w:val="24"/>
          <w:szCs w:val="24"/>
        </w:rPr>
        <w:t xml:space="preserve">Taxpayers </w:t>
      </w:r>
      <w:r>
        <w:rPr>
          <w:rFonts w:ascii="Times New Roman" w:hAnsi="Times New Roman" w:cs="Times New Roman"/>
          <w:sz w:val="24"/>
          <w:szCs w:val="24"/>
        </w:rPr>
        <w:t xml:space="preserve">have sought OTA’s assistance with respect to DOF’s </w:t>
      </w:r>
      <w:r w:rsidR="000466FC">
        <w:rPr>
          <w:rFonts w:ascii="Times New Roman" w:hAnsi="Times New Roman" w:cs="Times New Roman"/>
          <w:sz w:val="24"/>
          <w:szCs w:val="24"/>
        </w:rPr>
        <w:t xml:space="preserve">Request for Review (“RFR”) </w:t>
      </w:r>
      <w:r>
        <w:rPr>
          <w:rFonts w:ascii="Times New Roman" w:hAnsi="Times New Roman" w:cs="Times New Roman"/>
          <w:sz w:val="24"/>
          <w:szCs w:val="24"/>
        </w:rPr>
        <w:t xml:space="preserve">process. </w:t>
      </w:r>
      <w:r w:rsidR="00050692">
        <w:rPr>
          <w:rFonts w:ascii="Times New Roman" w:hAnsi="Times New Roman" w:cs="Times New Roman"/>
          <w:sz w:val="24"/>
          <w:szCs w:val="24"/>
        </w:rPr>
        <w:t xml:space="preserve">Property owners who </w:t>
      </w:r>
      <w:r w:rsidR="008C0BAC">
        <w:rPr>
          <w:rFonts w:ascii="Times New Roman" w:hAnsi="Times New Roman" w:cs="Times New Roman"/>
          <w:sz w:val="24"/>
          <w:szCs w:val="24"/>
        </w:rPr>
        <w:t>wish to challenge DOF’s assessment of their properties’ market value</w:t>
      </w:r>
      <w:r w:rsidR="00C92B9C">
        <w:rPr>
          <w:rFonts w:ascii="Times New Roman" w:hAnsi="Times New Roman" w:cs="Times New Roman"/>
          <w:sz w:val="24"/>
          <w:szCs w:val="24"/>
        </w:rPr>
        <w:t xml:space="preserve"> or building classification can utilize DOF’s internal </w:t>
      </w:r>
      <w:r w:rsidR="000466FC">
        <w:rPr>
          <w:rFonts w:ascii="Times New Roman" w:hAnsi="Times New Roman" w:cs="Times New Roman"/>
          <w:sz w:val="24"/>
          <w:szCs w:val="24"/>
        </w:rPr>
        <w:t>RFR</w:t>
      </w:r>
      <w:r w:rsidR="00C92B9C">
        <w:rPr>
          <w:rFonts w:ascii="Times New Roman" w:hAnsi="Times New Roman" w:cs="Times New Roman"/>
          <w:sz w:val="24"/>
          <w:szCs w:val="24"/>
        </w:rPr>
        <w:t xml:space="preserve"> process.</w:t>
      </w:r>
      <w:r w:rsidR="00971EAC">
        <w:rPr>
          <w:rFonts w:ascii="Times New Roman" w:hAnsi="Times New Roman" w:cs="Times New Roman"/>
          <w:sz w:val="24"/>
          <w:szCs w:val="24"/>
        </w:rPr>
        <w:t xml:space="preserve"> </w:t>
      </w:r>
      <w:r w:rsidR="00C92B9C">
        <w:rPr>
          <w:rFonts w:ascii="Times New Roman" w:hAnsi="Times New Roman" w:cs="Times New Roman"/>
          <w:sz w:val="24"/>
          <w:szCs w:val="24"/>
        </w:rPr>
        <w:t>Through the RFR process, owners can ask that DOF review a property’s tentative assessed value prior to the issuance of the Final Property Roll. DOF could improve the information provided to owners in the Determination Letters sent at the end of the RFR process.</w:t>
      </w:r>
      <w:r w:rsidR="00971EAC">
        <w:rPr>
          <w:rFonts w:ascii="Times New Roman" w:hAnsi="Times New Roman" w:cs="Times New Roman"/>
          <w:sz w:val="24"/>
          <w:szCs w:val="24"/>
        </w:rPr>
        <w:t xml:space="preserve"> </w:t>
      </w:r>
      <w:r w:rsidR="00C92B9C">
        <w:rPr>
          <w:rFonts w:ascii="Times New Roman" w:hAnsi="Times New Roman" w:cs="Times New Roman"/>
          <w:sz w:val="24"/>
          <w:szCs w:val="24"/>
        </w:rPr>
        <w:t xml:space="preserve">OTA has received complaints that </w:t>
      </w:r>
      <w:r>
        <w:rPr>
          <w:rFonts w:ascii="Times New Roman" w:hAnsi="Times New Roman" w:cs="Times New Roman"/>
          <w:sz w:val="24"/>
          <w:szCs w:val="24"/>
        </w:rPr>
        <w:t xml:space="preserve">determination letters </w:t>
      </w:r>
      <w:r w:rsidR="00CF5D52">
        <w:rPr>
          <w:rFonts w:ascii="Times New Roman" w:hAnsi="Times New Roman" w:cs="Times New Roman"/>
          <w:sz w:val="24"/>
          <w:szCs w:val="24"/>
        </w:rPr>
        <w:t xml:space="preserve">sometimes </w:t>
      </w:r>
      <w:r>
        <w:rPr>
          <w:rFonts w:ascii="Times New Roman" w:hAnsi="Times New Roman" w:cs="Times New Roman"/>
          <w:sz w:val="24"/>
          <w:szCs w:val="24"/>
        </w:rPr>
        <w:t>contain blanket denials</w:t>
      </w:r>
      <w:r w:rsidR="00CF5D52">
        <w:rPr>
          <w:rFonts w:ascii="Times New Roman" w:hAnsi="Times New Roman" w:cs="Times New Roman"/>
          <w:sz w:val="24"/>
          <w:szCs w:val="24"/>
        </w:rPr>
        <w:t xml:space="preserve"> and do not provide</w:t>
      </w:r>
      <w:r w:rsidR="00C92B9C">
        <w:rPr>
          <w:rFonts w:ascii="Times New Roman" w:hAnsi="Times New Roman" w:cs="Times New Roman"/>
          <w:sz w:val="24"/>
          <w:szCs w:val="24"/>
        </w:rPr>
        <w:t xml:space="preserve"> </w:t>
      </w:r>
      <w:r w:rsidRPr="004B12BA">
        <w:rPr>
          <w:rFonts w:ascii="Times New Roman" w:hAnsi="Times New Roman" w:cs="Times New Roman"/>
          <w:sz w:val="24"/>
          <w:szCs w:val="24"/>
        </w:rPr>
        <w:t xml:space="preserve">clear </w:t>
      </w:r>
      <w:r>
        <w:rPr>
          <w:rFonts w:ascii="Times New Roman" w:hAnsi="Times New Roman" w:cs="Times New Roman"/>
          <w:sz w:val="24"/>
          <w:szCs w:val="24"/>
        </w:rPr>
        <w:t>descriptions for the basis of such determination</w:t>
      </w:r>
      <w:r w:rsidR="00C92B9C">
        <w:rPr>
          <w:rFonts w:ascii="Times New Roman" w:hAnsi="Times New Roman" w:cs="Times New Roman"/>
          <w:sz w:val="24"/>
          <w:szCs w:val="24"/>
        </w:rPr>
        <w:t>s.</w:t>
      </w:r>
    </w:p>
    <w:p w:rsidR="00785CC0" w:rsidRDefault="00785CC0" w:rsidP="0006077F">
      <w:pPr>
        <w:spacing w:after="0"/>
        <w:rPr>
          <w:rFonts w:ascii="Times New Roman" w:hAnsi="Times New Roman" w:cs="Times New Roman"/>
          <w:sz w:val="24"/>
          <w:szCs w:val="24"/>
        </w:rPr>
      </w:pPr>
    </w:p>
    <w:p w:rsidR="002C0B38" w:rsidRPr="002C0B38" w:rsidRDefault="002C0B38" w:rsidP="008160F5">
      <w:pPr>
        <w:keepNext/>
        <w:spacing w:after="0"/>
        <w:rPr>
          <w:rFonts w:ascii="Times New Roman" w:hAnsi="Times New Roman" w:cs="Times New Roman"/>
          <w:sz w:val="24"/>
          <w:szCs w:val="24"/>
          <w:u w:val="single"/>
        </w:rPr>
      </w:pPr>
      <w:r>
        <w:rPr>
          <w:rFonts w:ascii="Times New Roman" w:hAnsi="Times New Roman" w:cs="Times New Roman"/>
          <w:sz w:val="24"/>
          <w:szCs w:val="24"/>
          <w:u w:val="single"/>
        </w:rPr>
        <w:t>Recommendation</w:t>
      </w:r>
      <w:r w:rsidR="00A22B09">
        <w:rPr>
          <w:rFonts w:ascii="Times New Roman" w:hAnsi="Times New Roman" w:cs="Times New Roman"/>
          <w:sz w:val="24"/>
          <w:szCs w:val="24"/>
          <w:u w:val="single"/>
        </w:rPr>
        <w:t>s</w:t>
      </w:r>
      <w:r>
        <w:rPr>
          <w:rFonts w:ascii="Times New Roman" w:hAnsi="Times New Roman" w:cs="Times New Roman"/>
          <w:sz w:val="24"/>
          <w:szCs w:val="24"/>
          <w:u w:val="single"/>
        </w:rPr>
        <w:t>:</w:t>
      </w:r>
    </w:p>
    <w:p w:rsidR="002C0B38" w:rsidRDefault="002C0B38" w:rsidP="008160F5">
      <w:pPr>
        <w:keepNext/>
        <w:spacing w:after="0"/>
        <w:rPr>
          <w:rFonts w:ascii="Times New Roman" w:hAnsi="Times New Roman" w:cs="Times New Roman"/>
          <w:sz w:val="24"/>
          <w:szCs w:val="24"/>
        </w:rPr>
      </w:pPr>
    </w:p>
    <w:p w:rsidR="008C4E62" w:rsidRDefault="008C0BAC" w:rsidP="00B73602">
      <w:pPr>
        <w:spacing w:after="0"/>
        <w:rPr>
          <w:rFonts w:ascii="Times New Roman" w:hAnsi="Times New Roman" w:cs="Times New Roman"/>
          <w:sz w:val="24"/>
          <w:szCs w:val="24"/>
        </w:rPr>
      </w:pPr>
      <w:r>
        <w:rPr>
          <w:rFonts w:ascii="Times New Roman" w:hAnsi="Times New Roman" w:cs="Times New Roman"/>
          <w:sz w:val="24"/>
          <w:szCs w:val="24"/>
        </w:rPr>
        <w:t>DOF should provide clear explanation</w:t>
      </w:r>
      <w:r w:rsidR="00C92B9C">
        <w:rPr>
          <w:rFonts w:ascii="Times New Roman" w:hAnsi="Times New Roman" w:cs="Times New Roman"/>
          <w:sz w:val="24"/>
          <w:szCs w:val="24"/>
        </w:rPr>
        <w:t>s</w:t>
      </w:r>
      <w:r>
        <w:rPr>
          <w:rFonts w:ascii="Times New Roman" w:hAnsi="Times New Roman" w:cs="Times New Roman"/>
          <w:sz w:val="24"/>
          <w:szCs w:val="24"/>
        </w:rPr>
        <w:t xml:space="preserve"> of RFR determination</w:t>
      </w:r>
      <w:r w:rsidR="000466FC">
        <w:rPr>
          <w:rFonts w:ascii="Times New Roman" w:hAnsi="Times New Roman" w:cs="Times New Roman"/>
          <w:sz w:val="24"/>
          <w:szCs w:val="24"/>
        </w:rPr>
        <w:t>s, including why taxpayers’ challenges were denied, or, if applicable, why the comparable properties used by DOF for valuation were better examples than the ones submitted by taxpayer.</w:t>
      </w:r>
    </w:p>
    <w:p w:rsidR="00C92B9C" w:rsidRDefault="00C92B9C" w:rsidP="00B73602">
      <w:pPr>
        <w:spacing w:after="0"/>
        <w:rPr>
          <w:rFonts w:ascii="Times New Roman" w:hAnsi="Times New Roman" w:cs="Times New Roman"/>
          <w:sz w:val="24"/>
          <w:szCs w:val="24"/>
        </w:rPr>
      </w:pPr>
    </w:p>
    <w:p w:rsidR="00B73602" w:rsidRPr="00FB16A0" w:rsidRDefault="00D96A64" w:rsidP="00B73602">
      <w:pPr>
        <w:keepNext/>
        <w:tabs>
          <w:tab w:val="left" w:pos="4095"/>
        </w:tabs>
        <w:spacing w:after="0"/>
        <w:rPr>
          <w:rFonts w:ascii="Times New Roman" w:eastAsiaTheme="minorEastAsia" w:hAnsi="Times New Roman" w:cs="Times New Roman"/>
          <w:b/>
          <w:i/>
          <w:kern w:val="24"/>
          <w:sz w:val="24"/>
          <w:szCs w:val="24"/>
        </w:rPr>
      </w:pPr>
      <w:r>
        <w:rPr>
          <w:rFonts w:ascii="Times New Roman" w:eastAsiaTheme="minorEastAsia" w:hAnsi="Times New Roman" w:cs="Times New Roman"/>
          <w:b/>
          <w:i/>
          <w:kern w:val="24"/>
          <w:sz w:val="24"/>
          <w:szCs w:val="24"/>
        </w:rPr>
        <w:t xml:space="preserve">Understanding </w:t>
      </w:r>
      <w:r w:rsidR="00B73602" w:rsidRPr="00FB16A0">
        <w:rPr>
          <w:rFonts w:ascii="Times New Roman" w:eastAsiaTheme="minorEastAsia" w:hAnsi="Times New Roman" w:cs="Times New Roman"/>
          <w:b/>
          <w:i/>
          <w:kern w:val="24"/>
          <w:sz w:val="24"/>
          <w:szCs w:val="24"/>
        </w:rPr>
        <w:t>Penalty and Interest Rules.</w:t>
      </w:r>
      <w:r w:rsidR="00224E54">
        <w:rPr>
          <w:rFonts w:ascii="Times New Roman" w:eastAsiaTheme="minorEastAsia" w:hAnsi="Times New Roman" w:cs="Times New Roman"/>
          <w:b/>
          <w:i/>
          <w:kern w:val="24"/>
          <w:sz w:val="24"/>
          <w:szCs w:val="24"/>
        </w:rPr>
        <w:t xml:space="preserve"> </w:t>
      </w:r>
    </w:p>
    <w:p w:rsidR="00B73602" w:rsidRPr="00FB16A0" w:rsidRDefault="00B73602" w:rsidP="00B73602">
      <w:pPr>
        <w:keepNext/>
        <w:tabs>
          <w:tab w:val="left" w:pos="4095"/>
        </w:tabs>
        <w:spacing w:after="0"/>
        <w:rPr>
          <w:rFonts w:ascii="Times New Roman" w:eastAsiaTheme="minorEastAsia" w:hAnsi="Times New Roman" w:cs="Times New Roman"/>
          <w:b/>
          <w:kern w:val="24"/>
          <w:sz w:val="24"/>
          <w:szCs w:val="24"/>
        </w:rPr>
      </w:pPr>
    </w:p>
    <w:p w:rsidR="00B73602" w:rsidRPr="00FB16A0" w:rsidRDefault="00B73602" w:rsidP="00B73602">
      <w:pPr>
        <w:spacing w:after="0"/>
        <w:rPr>
          <w:rFonts w:ascii="Times New Roman" w:hAnsi="Times New Roman" w:cs="Times New Roman"/>
          <w:sz w:val="24"/>
          <w:szCs w:val="24"/>
        </w:rPr>
      </w:pPr>
      <w:r w:rsidRPr="00FB16A0">
        <w:rPr>
          <w:rFonts w:ascii="Times New Roman" w:hAnsi="Times New Roman" w:cs="Times New Roman"/>
          <w:sz w:val="24"/>
          <w:szCs w:val="24"/>
        </w:rPr>
        <w:t>Taxpayers have contacted OTA</w:t>
      </w:r>
      <w:r w:rsidR="009F04B9">
        <w:rPr>
          <w:rFonts w:ascii="Times New Roman" w:hAnsi="Times New Roman" w:cs="Times New Roman"/>
          <w:sz w:val="24"/>
          <w:szCs w:val="24"/>
        </w:rPr>
        <w:t xml:space="preserve"> because they do not understand how</w:t>
      </w:r>
      <w:r w:rsidR="00CF5D52">
        <w:rPr>
          <w:rFonts w:ascii="Times New Roman" w:hAnsi="Times New Roman" w:cs="Times New Roman"/>
          <w:sz w:val="24"/>
          <w:szCs w:val="24"/>
        </w:rPr>
        <w:t xml:space="preserve"> </w:t>
      </w:r>
      <w:r w:rsidRPr="00FB16A0">
        <w:rPr>
          <w:rFonts w:ascii="Times New Roman" w:hAnsi="Times New Roman" w:cs="Times New Roman"/>
          <w:sz w:val="24"/>
          <w:szCs w:val="24"/>
        </w:rPr>
        <w:t xml:space="preserve">penalties and interest </w:t>
      </w:r>
      <w:r w:rsidR="009F04B9">
        <w:rPr>
          <w:rFonts w:ascii="Times New Roman" w:hAnsi="Times New Roman" w:cs="Times New Roman"/>
          <w:sz w:val="24"/>
          <w:szCs w:val="24"/>
        </w:rPr>
        <w:t xml:space="preserve">were imposed or </w:t>
      </w:r>
      <w:r w:rsidRPr="00FB16A0">
        <w:rPr>
          <w:rFonts w:ascii="Times New Roman" w:hAnsi="Times New Roman" w:cs="Times New Roman"/>
          <w:sz w:val="24"/>
          <w:szCs w:val="24"/>
        </w:rPr>
        <w:t xml:space="preserve">calculated. </w:t>
      </w:r>
      <w:r w:rsidR="009F04B9">
        <w:rPr>
          <w:rFonts w:ascii="Times New Roman" w:hAnsi="Times New Roman" w:cs="Times New Roman"/>
          <w:sz w:val="24"/>
          <w:szCs w:val="24"/>
        </w:rPr>
        <w:t xml:space="preserve"> Some taxpayers report receiving a “</w:t>
      </w:r>
      <w:r w:rsidRPr="00FB16A0">
        <w:rPr>
          <w:rFonts w:ascii="Times New Roman" w:hAnsi="Times New Roman" w:cs="Times New Roman"/>
          <w:sz w:val="24"/>
          <w:szCs w:val="24"/>
        </w:rPr>
        <w:t>Failure to Pay</w:t>
      </w:r>
      <w:r w:rsidR="009F04B9">
        <w:rPr>
          <w:rFonts w:ascii="Times New Roman" w:hAnsi="Times New Roman" w:cs="Times New Roman"/>
          <w:sz w:val="24"/>
          <w:szCs w:val="24"/>
        </w:rPr>
        <w:t>”</w:t>
      </w:r>
      <w:r w:rsidRPr="00FB16A0">
        <w:rPr>
          <w:rFonts w:ascii="Times New Roman" w:hAnsi="Times New Roman" w:cs="Times New Roman"/>
          <w:sz w:val="24"/>
          <w:szCs w:val="24"/>
        </w:rPr>
        <w:t xml:space="preserve"> penalty </w:t>
      </w:r>
      <w:r w:rsidR="009F04B9">
        <w:rPr>
          <w:rFonts w:ascii="Times New Roman" w:hAnsi="Times New Roman" w:cs="Times New Roman"/>
          <w:sz w:val="24"/>
          <w:szCs w:val="24"/>
        </w:rPr>
        <w:t>at the same time they are issued</w:t>
      </w:r>
      <w:r w:rsidRPr="00FB16A0">
        <w:rPr>
          <w:rFonts w:ascii="Times New Roman" w:hAnsi="Times New Roman" w:cs="Times New Roman"/>
          <w:sz w:val="24"/>
          <w:szCs w:val="24"/>
        </w:rPr>
        <w:t xml:space="preserve"> </w:t>
      </w:r>
      <w:r w:rsidR="009F04B9">
        <w:rPr>
          <w:rFonts w:ascii="Times New Roman" w:hAnsi="Times New Roman" w:cs="Times New Roman"/>
          <w:sz w:val="24"/>
          <w:szCs w:val="24"/>
        </w:rPr>
        <w:t>a Notice</w:t>
      </w:r>
      <w:r w:rsidRPr="00FB16A0">
        <w:rPr>
          <w:rFonts w:ascii="Times New Roman" w:hAnsi="Times New Roman" w:cs="Times New Roman"/>
          <w:sz w:val="24"/>
          <w:szCs w:val="24"/>
        </w:rPr>
        <w:t xml:space="preserve"> of Determination or a Stateme</w:t>
      </w:r>
      <w:r w:rsidR="009F04B9">
        <w:rPr>
          <w:rFonts w:ascii="Times New Roman" w:hAnsi="Times New Roman" w:cs="Times New Roman"/>
          <w:sz w:val="24"/>
          <w:szCs w:val="24"/>
        </w:rPr>
        <w:t xml:space="preserve">nt of Proposed Audit Adjustment.  OTA believes that a “Failure to Pay” penalty </w:t>
      </w:r>
      <w:r w:rsidRPr="00FB16A0">
        <w:rPr>
          <w:rFonts w:ascii="Times New Roman" w:hAnsi="Times New Roman" w:cs="Times New Roman"/>
          <w:sz w:val="24"/>
          <w:szCs w:val="24"/>
        </w:rPr>
        <w:t xml:space="preserve">should only </w:t>
      </w:r>
      <w:r w:rsidR="009F04B9">
        <w:rPr>
          <w:rFonts w:ascii="Times New Roman" w:hAnsi="Times New Roman" w:cs="Times New Roman"/>
          <w:sz w:val="24"/>
          <w:szCs w:val="24"/>
        </w:rPr>
        <w:t xml:space="preserve">be imposed where </w:t>
      </w:r>
      <w:r w:rsidRPr="00FB16A0">
        <w:rPr>
          <w:rFonts w:ascii="Times New Roman" w:hAnsi="Times New Roman" w:cs="Times New Roman"/>
          <w:sz w:val="24"/>
          <w:szCs w:val="24"/>
        </w:rPr>
        <w:t>a taxpayer fails to make</w:t>
      </w:r>
      <w:r w:rsidR="009F04B9">
        <w:rPr>
          <w:rFonts w:ascii="Times New Roman" w:hAnsi="Times New Roman" w:cs="Times New Roman"/>
          <w:sz w:val="24"/>
          <w:szCs w:val="24"/>
        </w:rPr>
        <w:t xml:space="preserve"> a payment within 10 days of a Notice and Demand for Payment </w:t>
      </w:r>
      <w:r w:rsidRPr="00FB16A0">
        <w:rPr>
          <w:rFonts w:ascii="Times New Roman" w:hAnsi="Times New Roman" w:cs="Times New Roman"/>
          <w:sz w:val="24"/>
          <w:szCs w:val="24"/>
        </w:rPr>
        <w:t xml:space="preserve">which can only be issued once </w:t>
      </w:r>
      <w:r w:rsidR="009F04B9">
        <w:rPr>
          <w:rFonts w:ascii="Times New Roman" w:hAnsi="Times New Roman" w:cs="Times New Roman"/>
          <w:sz w:val="24"/>
          <w:szCs w:val="24"/>
        </w:rPr>
        <w:t>a</w:t>
      </w:r>
      <w:r w:rsidRPr="00FB16A0">
        <w:rPr>
          <w:rFonts w:ascii="Times New Roman" w:hAnsi="Times New Roman" w:cs="Times New Roman"/>
          <w:sz w:val="24"/>
          <w:szCs w:val="24"/>
        </w:rPr>
        <w:t xml:space="preserve"> tax is fully assessed. Taxes are not fully assessed until all administrative appeals are exhausted,</w:t>
      </w:r>
      <w:r w:rsidR="009F04B9">
        <w:rPr>
          <w:rFonts w:ascii="Times New Roman" w:hAnsi="Times New Roman" w:cs="Times New Roman"/>
          <w:sz w:val="24"/>
          <w:szCs w:val="24"/>
        </w:rPr>
        <w:t xml:space="preserve"> therefore </w:t>
      </w:r>
      <w:r w:rsidRPr="00FB16A0">
        <w:rPr>
          <w:rFonts w:ascii="Times New Roman" w:hAnsi="Times New Roman" w:cs="Times New Roman"/>
          <w:sz w:val="24"/>
          <w:szCs w:val="24"/>
        </w:rPr>
        <w:t xml:space="preserve">taxpayers </w:t>
      </w:r>
      <w:r w:rsidR="009F04B9">
        <w:rPr>
          <w:rFonts w:ascii="Times New Roman" w:hAnsi="Times New Roman" w:cs="Times New Roman"/>
          <w:sz w:val="24"/>
          <w:szCs w:val="24"/>
        </w:rPr>
        <w:t xml:space="preserve">could be </w:t>
      </w:r>
      <w:r w:rsidRPr="00FB16A0">
        <w:rPr>
          <w:rFonts w:ascii="Times New Roman" w:hAnsi="Times New Roman" w:cs="Times New Roman"/>
          <w:sz w:val="24"/>
          <w:szCs w:val="24"/>
        </w:rPr>
        <w:t>pay</w:t>
      </w:r>
      <w:r w:rsidR="009F04B9">
        <w:rPr>
          <w:rFonts w:ascii="Times New Roman" w:hAnsi="Times New Roman" w:cs="Times New Roman"/>
          <w:sz w:val="24"/>
          <w:szCs w:val="24"/>
        </w:rPr>
        <w:t xml:space="preserve">ing penalties which they do not owe. </w:t>
      </w:r>
      <w:r>
        <w:rPr>
          <w:rStyle w:val="FootnoteReference"/>
          <w:rFonts w:ascii="Times New Roman" w:hAnsi="Times New Roman" w:cs="Times New Roman"/>
          <w:sz w:val="24"/>
          <w:szCs w:val="24"/>
        </w:rPr>
        <w:footnoteReference w:id="11"/>
      </w:r>
    </w:p>
    <w:p w:rsidR="00B73602" w:rsidRDefault="00B73602" w:rsidP="00B73602">
      <w:pPr>
        <w:spacing w:after="0"/>
        <w:rPr>
          <w:rFonts w:ascii="Times New Roman" w:eastAsiaTheme="minorEastAsia" w:hAnsi="Times New Roman" w:cs="Times New Roman"/>
          <w:kern w:val="24"/>
          <w:sz w:val="24"/>
          <w:szCs w:val="24"/>
        </w:rPr>
      </w:pPr>
    </w:p>
    <w:p w:rsidR="00785CC0" w:rsidRPr="002C0B38" w:rsidRDefault="00785CC0" w:rsidP="003B2B89">
      <w:pPr>
        <w:keepNext/>
        <w:spacing w:after="0"/>
        <w:rPr>
          <w:rFonts w:ascii="Times New Roman" w:eastAsiaTheme="minorEastAsia" w:hAnsi="Times New Roman" w:cs="Times New Roman"/>
          <w:kern w:val="24"/>
          <w:sz w:val="24"/>
          <w:szCs w:val="24"/>
          <w:u w:val="single"/>
        </w:rPr>
      </w:pPr>
      <w:r w:rsidRPr="002C0B38">
        <w:rPr>
          <w:rFonts w:ascii="Times New Roman" w:eastAsiaTheme="minorEastAsia" w:hAnsi="Times New Roman" w:cs="Times New Roman"/>
          <w:kern w:val="24"/>
          <w:sz w:val="24"/>
          <w:szCs w:val="24"/>
          <w:u w:val="single"/>
        </w:rPr>
        <w:t>Recommendation</w:t>
      </w:r>
      <w:r w:rsidR="00A22B09">
        <w:rPr>
          <w:rFonts w:ascii="Times New Roman" w:eastAsiaTheme="minorEastAsia" w:hAnsi="Times New Roman" w:cs="Times New Roman"/>
          <w:kern w:val="24"/>
          <w:sz w:val="24"/>
          <w:szCs w:val="24"/>
          <w:u w:val="single"/>
        </w:rPr>
        <w:t>s</w:t>
      </w:r>
      <w:r w:rsidRPr="002C0B38">
        <w:rPr>
          <w:rFonts w:ascii="Times New Roman" w:eastAsiaTheme="minorEastAsia" w:hAnsi="Times New Roman" w:cs="Times New Roman"/>
          <w:kern w:val="24"/>
          <w:sz w:val="24"/>
          <w:szCs w:val="24"/>
          <w:u w:val="single"/>
        </w:rPr>
        <w:t>:</w:t>
      </w:r>
    </w:p>
    <w:p w:rsidR="00785CC0" w:rsidRPr="00FB16A0" w:rsidRDefault="00785CC0" w:rsidP="003B2B89">
      <w:pPr>
        <w:keepNext/>
        <w:spacing w:after="0"/>
        <w:rPr>
          <w:rFonts w:ascii="Times New Roman" w:eastAsiaTheme="minorEastAsia" w:hAnsi="Times New Roman" w:cs="Times New Roman"/>
          <w:kern w:val="24"/>
          <w:sz w:val="24"/>
          <w:szCs w:val="24"/>
        </w:rPr>
      </w:pPr>
    </w:p>
    <w:p w:rsidR="008E4A81" w:rsidRDefault="00827A32" w:rsidP="00830C78">
      <w:pPr>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DOF should include m</w:t>
      </w:r>
      <w:r w:rsidR="00B73602" w:rsidRPr="00FB16A0">
        <w:rPr>
          <w:rFonts w:ascii="Times New Roman" w:eastAsiaTheme="minorEastAsia" w:hAnsi="Times New Roman" w:cs="Times New Roman"/>
          <w:kern w:val="24"/>
          <w:sz w:val="24"/>
          <w:szCs w:val="24"/>
        </w:rPr>
        <w:t xml:space="preserve">athematical calculations </w:t>
      </w:r>
      <w:r>
        <w:rPr>
          <w:rFonts w:ascii="Times New Roman" w:eastAsiaTheme="minorEastAsia" w:hAnsi="Times New Roman" w:cs="Times New Roman"/>
          <w:kern w:val="24"/>
          <w:sz w:val="24"/>
          <w:szCs w:val="24"/>
        </w:rPr>
        <w:t xml:space="preserve">detailing the </w:t>
      </w:r>
      <w:r w:rsidR="00B73602" w:rsidRPr="00FB16A0">
        <w:rPr>
          <w:rFonts w:ascii="Times New Roman" w:eastAsiaTheme="minorEastAsia" w:hAnsi="Times New Roman" w:cs="Times New Roman"/>
          <w:kern w:val="24"/>
          <w:sz w:val="24"/>
          <w:szCs w:val="24"/>
        </w:rPr>
        <w:t xml:space="preserve">penalties and </w:t>
      </w:r>
      <w:r>
        <w:rPr>
          <w:rFonts w:ascii="Times New Roman" w:eastAsiaTheme="minorEastAsia" w:hAnsi="Times New Roman" w:cs="Times New Roman"/>
          <w:kern w:val="24"/>
          <w:sz w:val="24"/>
          <w:szCs w:val="24"/>
        </w:rPr>
        <w:t xml:space="preserve">interest imposed.  DOF should also include </w:t>
      </w:r>
      <w:r w:rsidR="00287BB9">
        <w:rPr>
          <w:rFonts w:ascii="Times New Roman" w:eastAsiaTheme="minorEastAsia" w:hAnsi="Times New Roman" w:cs="Times New Roman"/>
          <w:kern w:val="24"/>
          <w:sz w:val="24"/>
          <w:szCs w:val="24"/>
        </w:rPr>
        <w:t>an explanation of the law applied to calcula</w:t>
      </w:r>
      <w:r>
        <w:rPr>
          <w:rFonts w:ascii="Times New Roman" w:eastAsiaTheme="minorEastAsia" w:hAnsi="Times New Roman" w:cs="Times New Roman"/>
          <w:kern w:val="24"/>
          <w:sz w:val="24"/>
          <w:szCs w:val="24"/>
        </w:rPr>
        <w:t>te such penalties</w:t>
      </w:r>
      <w:r w:rsidR="00287BB9">
        <w:rPr>
          <w:rFonts w:ascii="Times New Roman" w:eastAsiaTheme="minorEastAsia" w:hAnsi="Times New Roman" w:cs="Times New Roman"/>
          <w:kern w:val="24"/>
          <w:sz w:val="24"/>
          <w:szCs w:val="24"/>
        </w:rPr>
        <w:t xml:space="preserve"> and interest. </w:t>
      </w:r>
      <w:r w:rsidR="008E4A81">
        <w:rPr>
          <w:rFonts w:ascii="Times New Roman" w:eastAsiaTheme="minorEastAsia" w:hAnsi="Times New Roman" w:cs="Times New Roman"/>
          <w:kern w:val="24"/>
          <w:sz w:val="24"/>
          <w:szCs w:val="24"/>
        </w:rPr>
        <w:t>Regarding the Failure to Pay penalty issue, DOF is in the process of ensuring this issue is resolved.</w:t>
      </w:r>
    </w:p>
    <w:p w:rsidR="00B73602" w:rsidRPr="00FB16A0" w:rsidRDefault="00B73602" w:rsidP="00B73602">
      <w:pPr>
        <w:keepNext/>
        <w:spacing w:after="0"/>
        <w:rPr>
          <w:rFonts w:ascii="Times New Roman" w:eastAsiaTheme="minorEastAsia" w:hAnsi="Times New Roman" w:cs="Times New Roman"/>
          <w:b/>
          <w:i/>
          <w:kern w:val="24"/>
          <w:sz w:val="24"/>
          <w:szCs w:val="24"/>
        </w:rPr>
      </w:pPr>
      <w:r w:rsidRPr="00FB16A0">
        <w:rPr>
          <w:rFonts w:ascii="Times New Roman" w:eastAsiaTheme="minorEastAsia" w:hAnsi="Times New Roman" w:cs="Times New Roman"/>
          <w:b/>
          <w:i/>
          <w:kern w:val="24"/>
          <w:sz w:val="24"/>
          <w:szCs w:val="24"/>
        </w:rPr>
        <w:t>Information Sessions Regarding New Business Tax Rules</w:t>
      </w:r>
      <w:r>
        <w:rPr>
          <w:rFonts w:ascii="Times New Roman" w:eastAsiaTheme="minorEastAsia" w:hAnsi="Times New Roman" w:cs="Times New Roman"/>
          <w:b/>
          <w:i/>
          <w:kern w:val="24"/>
          <w:sz w:val="24"/>
          <w:szCs w:val="24"/>
        </w:rPr>
        <w:t>.</w:t>
      </w:r>
    </w:p>
    <w:p w:rsidR="00B73602" w:rsidRDefault="00B73602" w:rsidP="00B73602">
      <w:pPr>
        <w:keepNext/>
        <w:spacing w:after="0"/>
        <w:rPr>
          <w:rFonts w:ascii="Times New Roman" w:eastAsiaTheme="minorEastAsia" w:hAnsi="Times New Roman" w:cs="Times New Roman"/>
          <w:kern w:val="24"/>
          <w:sz w:val="24"/>
          <w:szCs w:val="24"/>
        </w:rPr>
      </w:pPr>
    </w:p>
    <w:p w:rsidR="005F36AB" w:rsidRDefault="00C06309" w:rsidP="001F1218">
      <w:pPr>
        <w:spacing w:after="0"/>
        <w:rPr>
          <w:rFonts w:ascii="Times New Roman" w:eastAsiaTheme="minorEastAsia" w:hAnsi="Times New Roman" w:cs="Times New Roman"/>
          <w:kern w:val="24"/>
          <w:sz w:val="24"/>
          <w:szCs w:val="24"/>
        </w:rPr>
      </w:pPr>
      <w:r>
        <w:rPr>
          <w:rFonts w:ascii="Times New Roman" w:hAnsi="Times New Roman" w:cs="Times New Roman"/>
          <w:sz w:val="24"/>
          <w:szCs w:val="24"/>
        </w:rPr>
        <w:t xml:space="preserve">NYC’s new Business Tax </w:t>
      </w:r>
      <w:r w:rsidR="001F1218">
        <w:rPr>
          <w:rFonts w:ascii="Times New Roman" w:hAnsi="Times New Roman" w:cs="Times New Roman"/>
          <w:sz w:val="24"/>
          <w:szCs w:val="24"/>
        </w:rPr>
        <w:t>significant</w:t>
      </w:r>
      <w:r>
        <w:rPr>
          <w:rFonts w:ascii="Times New Roman" w:hAnsi="Times New Roman" w:cs="Times New Roman"/>
          <w:sz w:val="24"/>
          <w:szCs w:val="24"/>
        </w:rPr>
        <w:t>ly</w:t>
      </w:r>
      <w:r w:rsidR="001F1218">
        <w:rPr>
          <w:rFonts w:ascii="Times New Roman" w:hAnsi="Times New Roman" w:cs="Times New Roman"/>
          <w:sz w:val="24"/>
          <w:szCs w:val="24"/>
        </w:rPr>
        <w:t xml:space="preserve"> </w:t>
      </w:r>
      <w:r w:rsidR="005F36AB" w:rsidRPr="00FB16A0">
        <w:rPr>
          <w:rFonts w:ascii="Times New Roman" w:hAnsi="Times New Roman" w:cs="Times New Roman"/>
          <w:sz w:val="24"/>
          <w:szCs w:val="24"/>
        </w:rPr>
        <w:t>change</w:t>
      </w:r>
      <w:r>
        <w:rPr>
          <w:rFonts w:ascii="Times New Roman" w:hAnsi="Times New Roman" w:cs="Times New Roman"/>
          <w:sz w:val="24"/>
          <w:szCs w:val="24"/>
        </w:rPr>
        <w:t>d the way the City taxes corporate entities.</w:t>
      </w:r>
      <w:r w:rsidR="00971EAC">
        <w:rPr>
          <w:rFonts w:ascii="Times New Roman" w:hAnsi="Times New Roman" w:cs="Times New Roman"/>
          <w:sz w:val="24"/>
          <w:szCs w:val="24"/>
        </w:rPr>
        <w:t xml:space="preserve"> </w:t>
      </w:r>
      <w:r>
        <w:rPr>
          <w:rFonts w:ascii="Times New Roman" w:hAnsi="Times New Roman" w:cs="Times New Roman"/>
          <w:sz w:val="24"/>
          <w:szCs w:val="24"/>
        </w:rPr>
        <w:t xml:space="preserve">Major provisions affecting all corporate taxpayers have been amended and many new rules have been </w:t>
      </w:r>
      <w:r>
        <w:rPr>
          <w:rFonts w:ascii="Times New Roman" w:hAnsi="Times New Roman" w:cs="Times New Roman"/>
          <w:sz w:val="24"/>
          <w:szCs w:val="24"/>
        </w:rPr>
        <w:lastRenderedPageBreak/>
        <w:t>instituted.</w:t>
      </w:r>
      <w:r w:rsidR="00971EAC">
        <w:rPr>
          <w:rFonts w:ascii="Times New Roman" w:hAnsi="Times New Roman" w:cs="Times New Roman"/>
          <w:sz w:val="24"/>
          <w:szCs w:val="24"/>
        </w:rPr>
        <w:t xml:space="preserve"> </w:t>
      </w:r>
      <w:r>
        <w:rPr>
          <w:rFonts w:ascii="Times New Roman" w:hAnsi="Times New Roman" w:cs="Times New Roman"/>
          <w:sz w:val="24"/>
          <w:szCs w:val="24"/>
        </w:rPr>
        <w:t>DOF has identified many of these issues and has issued guidance but more is needed in crucial areas such as the treatment of Net Operating Loss carryovers and Receipt Sourcing.</w:t>
      </w:r>
      <w:r w:rsidR="00971EAC">
        <w:rPr>
          <w:rFonts w:ascii="Times New Roman" w:hAnsi="Times New Roman" w:cs="Times New Roman"/>
          <w:sz w:val="24"/>
          <w:szCs w:val="24"/>
        </w:rPr>
        <w:t xml:space="preserve"> </w:t>
      </w:r>
    </w:p>
    <w:p w:rsidR="005F36AB" w:rsidRDefault="005F36AB" w:rsidP="00B73602">
      <w:pPr>
        <w:spacing w:after="0"/>
        <w:rPr>
          <w:rFonts w:ascii="Times New Roman" w:eastAsiaTheme="minorEastAsia" w:hAnsi="Times New Roman" w:cs="Times New Roman"/>
          <w:kern w:val="24"/>
          <w:sz w:val="24"/>
          <w:szCs w:val="24"/>
        </w:rPr>
      </w:pPr>
    </w:p>
    <w:p w:rsidR="005F36AB" w:rsidRPr="002C0B38" w:rsidRDefault="005F36AB" w:rsidP="008160F5">
      <w:pPr>
        <w:keepNext/>
        <w:spacing w:after="0"/>
        <w:rPr>
          <w:rFonts w:ascii="Times New Roman" w:eastAsiaTheme="minorEastAsia" w:hAnsi="Times New Roman" w:cs="Times New Roman"/>
          <w:kern w:val="24"/>
          <w:sz w:val="24"/>
          <w:szCs w:val="24"/>
          <w:u w:val="single"/>
        </w:rPr>
      </w:pPr>
      <w:r w:rsidRPr="002C0B38">
        <w:rPr>
          <w:rFonts w:ascii="Times New Roman" w:eastAsiaTheme="minorEastAsia" w:hAnsi="Times New Roman" w:cs="Times New Roman"/>
          <w:kern w:val="24"/>
          <w:sz w:val="24"/>
          <w:szCs w:val="24"/>
          <w:u w:val="single"/>
        </w:rPr>
        <w:t>Recommendation</w:t>
      </w:r>
      <w:r w:rsidR="00A22B09">
        <w:rPr>
          <w:rFonts w:ascii="Times New Roman" w:eastAsiaTheme="minorEastAsia" w:hAnsi="Times New Roman" w:cs="Times New Roman"/>
          <w:kern w:val="24"/>
          <w:sz w:val="24"/>
          <w:szCs w:val="24"/>
          <w:u w:val="single"/>
        </w:rPr>
        <w:t>s</w:t>
      </w:r>
      <w:r w:rsidRPr="002C0B38">
        <w:rPr>
          <w:rFonts w:ascii="Times New Roman" w:eastAsiaTheme="minorEastAsia" w:hAnsi="Times New Roman" w:cs="Times New Roman"/>
          <w:kern w:val="24"/>
          <w:sz w:val="24"/>
          <w:szCs w:val="24"/>
          <w:u w:val="single"/>
        </w:rPr>
        <w:t>:</w:t>
      </w:r>
    </w:p>
    <w:p w:rsidR="005F36AB" w:rsidRDefault="005F36AB" w:rsidP="008160F5">
      <w:pPr>
        <w:keepNext/>
        <w:spacing w:after="0"/>
        <w:rPr>
          <w:rFonts w:ascii="Times New Roman" w:eastAsiaTheme="minorEastAsia" w:hAnsi="Times New Roman" w:cs="Times New Roman"/>
          <w:b/>
          <w:kern w:val="24"/>
          <w:sz w:val="24"/>
          <w:szCs w:val="24"/>
        </w:rPr>
      </w:pPr>
    </w:p>
    <w:p w:rsidR="00C06309" w:rsidRDefault="005F36AB" w:rsidP="00B73602">
      <w:pPr>
        <w:spacing w:after="0"/>
        <w:rPr>
          <w:rFonts w:ascii="Times New Roman" w:hAnsi="Times New Roman" w:cs="Times New Roman"/>
          <w:sz w:val="24"/>
          <w:szCs w:val="24"/>
        </w:rPr>
      </w:pPr>
      <w:r>
        <w:rPr>
          <w:rFonts w:ascii="Times New Roman" w:eastAsiaTheme="minorEastAsia" w:hAnsi="Times New Roman" w:cs="Times New Roman"/>
          <w:kern w:val="24"/>
          <w:sz w:val="24"/>
          <w:szCs w:val="24"/>
        </w:rPr>
        <w:t xml:space="preserve">DOF </w:t>
      </w:r>
      <w:r w:rsidR="00C06309">
        <w:rPr>
          <w:rFonts w:ascii="Times New Roman" w:eastAsiaTheme="minorEastAsia" w:hAnsi="Times New Roman" w:cs="Times New Roman"/>
          <w:kern w:val="24"/>
          <w:sz w:val="24"/>
          <w:szCs w:val="24"/>
        </w:rPr>
        <w:t xml:space="preserve">should study how best </w:t>
      </w:r>
      <w:r w:rsidR="008A3E2B">
        <w:rPr>
          <w:rFonts w:ascii="Times New Roman" w:eastAsiaTheme="minorEastAsia" w:hAnsi="Times New Roman" w:cs="Times New Roman"/>
          <w:kern w:val="24"/>
          <w:sz w:val="24"/>
          <w:szCs w:val="24"/>
        </w:rPr>
        <w:t xml:space="preserve">to </w:t>
      </w:r>
      <w:r>
        <w:rPr>
          <w:rFonts w:ascii="Times New Roman" w:eastAsiaTheme="minorEastAsia" w:hAnsi="Times New Roman" w:cs="Times New Roman"/>
          <w:kern w:val="24"/>
          <w:sz w:val="24"/>
          <w:szCs w:val="24"/>
        </w:rPr>
        <w:t xml:space="preserve">educate </w:t>
      </w:r>
      <w:r w:rsidR="00C06309">
        <w:rPr>
          <w:rFonts w:ascii="Times New Roman" w:eastAsiaTheme="minorEastAsia" w:hAnsi="Times New Roman" w:cs="Times New Roman"/>
          <w:kern w:val="24"/>
          <w:sz w:val="24"/>
          <w:szCs w:val="24"/>
        </w:rPr>
        <w:t>tax practitioners and taxpayers regarding the new laws through both published guidance and public forums</w:t>
      </w:r>
      <w:r w:rsidR="00C06309">
        <w:rPr>
          <w:rFonts w:ascii="Times New Roman" w:hAnsi="Times New Roman" w:cs="Times New Roman"/>
          <w:sz w:val="24"/>
          <w:szCs w:val="24"/>
        </w:rPr>
        <w:t>.</w:t>
      </w:r>
    </w:p>
    <w:p w:rsidR="00C06309" w:rsidRDefault="00C06309" w:rsidP="00B73602">
      <w:pPr>
        <w:spacing w:after="0"/>
        <w:rPr>
          <w:rFonts w:ascii="Times New Roman" w:hAnsi="Times New Roman" w:cs="Times New Roman"/>
          <w:sz w:val="24"/>
          <w:szCs w:val="24"/>
        </w:rPr>
      </w:pPr>
    </w:p>
    <w:p w:rsidR="00B73602" w:rsidRPr="00FB16A0" w:rsidRDefault="00B73602" w:rsidP="00B73602">
      <w:pPr>
        <w:keepNext/>
        <w:spacing w:after="0"/>
        <w:rPr>
          <w:rFonts w:ascii="Times New Roman" w:hAnsi="Times New Roman" w:cs="Times New Roman"/>
          <w:b/>
          <w:i/>
          <w:sz w:val="24"/>
          <w:szCs w:val="24"/>
        </w:rPr>
      </w:pPr>
      <w:r w:rsidRPr="00FB16A0">
        <w:rPr>
          <w:rFonts w:ascii="Times New Roman" w:hAnsi="Times New Roman" w:cs="Times New Roman"/>
          <w:b/>
          <w:i/>
          <w:sz w:val="24"/>
          <w:szCs w:val="24"/>
        </w:rPr>
        <w:t>Confirmation of Taxpayer Submissions and “Next Steps.”</w:t>
      </w:r>
    </w:p>
    <w:p w:rsidR="00B73602" w:rsidRPr="00FB16A0" w:rsidRDefault="00B73602" w:rsidP="00B73602">
      <w:pPr>
        <w:keepNext/>
        <w:spacing w:after="0"/>
        <w:rPr>
          <w:rFonts w:ascii="Times New Roman" w:hAnsi="Times New Roman" w:cs="Times New Roman"/>
          <w:sz w:val="24"/>
          <w:szCs w:val="24"/>
        </w:rPr>
      </w:pPr>
    </w:p>
    <w:p w:rsidR="00C06309" w:rsidRDefault="00A74D98" w:rsidP="00B73602">
      <w:pPr>
        <w:spacing w:after="0"/>
        <w:contextualSpacing/>
        <w:rPr>
          <w:rFonts w:ascii="Times New Roman" w:hAnsi="Times New Roman" w:cs="Times New Roman"/>
          <w:sz w:val="24"/>
          <w:szCs w:val="24"/>
        </w:rPr>
      </w:pPr>
      <w:r>
        <w:rPr>
          <w:rFonts w:ascii="Times New Roman" w:hAnsi="Times New Roman" w:cs="Times New Roman"/>
          <w:sz w:val="24"/>
          <w:szCs w:val="24"/>
        </w:rPr>
        <w:t xml:space="preserve">OTA </w:t>
      </w:r>
      <w:r w:rsidR="00827A32">
        <w:rPr>
          <w:rFonts w:ascii="Times New Roman" w:hAnsi="Times New Roman" w:cs="Times New Roman"/>
          <w:sz w:val="24"/>
          <w:szCs w:val="24"/>
        </w:rPr>
        <w:t xml:space="preserve">receives many </w:t>
      </w:r>
      <w:r w:rsidR="009853B0">
        <w:rPr>
          <w:rFonts w:ascii="Times New Roman" w:hAnsi="Times New Roman" w:cs="Times New Roman"/>
          <w:sz w:val="24"/>
          <w:szCs w:val="24"/>
        </w:rPr>
        <w:t>inquiries</w:t>
      </w:r>
      <w:r>
        <w:rPr>
          <w:rFonts w:ascii="Times New Roman" w:hAnsi="Times New Roman" w:cs="Times New Roman"/>
          <w:sz w:val="24"/>
          <w:szCs w:val="24"/>
        </w:rPr>
        <w:t xml:space="preserve"> from taxpayers </w:t>
      </w:r>
      <w:r w:rsidR="00C06309">
        <w:rPr>
          <w:rFonts w:ascii="Times New Roman" w:hAnsi="Times New Roman" w:cs="Times New Roman"/>
          <w:sz w:val="24"/>
          <w:szCs w:val="24"/>
        </w:rPr>
        <w:t xml:space="preserve">regarding the </w:t>
      </w:r>
      <w:r w:rsidR="00827A32">
        <w:rPr>
          <w:rFonts w:ascii="Times New Roman" w:hAnsi="Times New Roman" w:cs="Times New Roman"/>
          <w:sz w:val="24"/>
          <w:szCs w:val="24"/>
        </w:rPr>
        <w:t xml:space="preserve">status of a </w:t>
      </w:r>
      <w:r>
        <w:rPr>
          <w:rFonts w:ascii="Times New Roman" w:hAnsi="Times New Roman" w:cs="Times New Roman"/>
          <w:sz w:val="24"/>
          <w:szCs w:val="24"/>
        </w:rPr>
        <w:t>benefit application</w:t>
      </w:r>
      <w:r w:rsidR="00C06309">
        <w:rPr>
          <w:rFonts w:ascii="Times New Roman" w:hAnsi="Times New Roman" w:cs="Times New Roman"/>
          <w:sz w:val="24"/>
          <w:szCs w:val="24"/>
        </w:rPr>
        <w:t>.</w:t>
      </w:r>
      <w:r w:rsidR="00971EAC">
        <w:rPr>
          <w:rFonts w:ascii="Times New Roman" w:hAnsi="Times New Roman" w:cs="Times New Roman"/>
          <w:sz w:val="24"/>
          <w:szCs w:val="24"/>
        </w:rPr>
        <w:t xml:space="preserve"> </w:t>
      </w:r>
      <w:r>
        <w:rPr>
          <w:rFonts w:ascii="Times New Roman" w:hAnsi="Times New Roman" w:cs="Times New Roman"/>
          <w:sz w:val="24"/>
          <w:szCs w:val="24"/>
        </w:rPr>
        <w:t xml:space="preserve">DOF </w:t>
      </w:r>
      <w:r w:rsidR="00827A32">
        <w:rPr>
          <w:rFonts w:ascii="Times New Roman" w:hAnsi="Times New Roman" w:cs="Times New Roman"/>
          <w:sz w:val="24"/>
          <w:szCs w:val="24"/>
        </w:rPr>
        <w:t xml:space="preserve">knows application </w:t>
      </w:r>
      <w:r w:rsidR="00C06309">
        <w:rPr>
          <w:rFonts w:ascii="Times New Roman" w:hAnsi="Times New Roman" w:cs="Times New Roman"/>
          <w:sz w:val="24"/>
          <w:szCs w:val="24"/>
        </w:rPr>
        <w:t xml:space="preserve">processing times and should study ways of </w:t>
      </w:r>
      <w:r w:rsidR="00827A32">
        <w:rPr>
          <w:rFonts w:ascii="Times New Roman" w:hAnsi="Times New Roman" w:cs="Times New Roman"/>
          <w:sz w:val="24"/>
          <w:szCs w:val="24"/>
        </w:rPr>
        <w:t>providing this information to taxpayers</w:t>
      </w:r>
      <w:r w:rsidR="00C06309">
        <w:rPr>
          <w:rFonts w:ascii="Times New Roman" w:hAnsi="Times New Roman" w:cs="Times New Roman"/>
          <w:sz w:val="24"/>
          <w:szCs w:val="24"/>
        </w:rPr>
        <w:t xml:space="preserve">. </w:t>
      </w:r>
    </w:p>
    <w:p w:rsidR="00A74D98" w:rsidRDefault="00A74D98" w:rsidP="00B73602">
      <w:pPr>
        <w:spacing w:after="0"/>
        <w:contextualSpacing/>
        <w:rPr>
          <w:rFonts w:ascii="Times New Roman" w:hAnsi="Times New Roman" w:cs="Times New Roman"/>
          <w:sz w:val="24"/>
          <w:szCs w:val="24"/>
        </w:rPr>
      </w:pPr>
    </w:p>
    <w:p w:rsidR="00A74D98" w:rsidRPr="002C0B38" w:rsidRDefault="00A74D98" w:rsidP="00A74D98">
      <w:pPr>
        <w:spacing w:after="0"/>
        <w:contextualSpacing/>
        <w:rPr>
          <w:rFonts w:ascii="Times New Roman" w:hAnsi="Times New Roman" w:cs="Times New Roman"/>
          <w:sz w:val="24"/>
          <w:szCs w:val="24"/>
          <w:u w:val="single"/>
        </w:rPr>
      </w:pPr>
      <w:r w:rsidRPr="002C0B38">
        <w:rPr>
          <w:rFonts w:ascii="Times New Roman" w:hAnsi="Times New Roman" w:cs="Times New Roman"/>
          <w:sz w:val="24"/>
          <w:szCs w:val="24"/>
          <w:u w:val="single"/>
        </w:rPr>
        <w:t>Recommendation</w:t>
      </w:r>
      <w:r w:rsidR="00A22B09">
        <w:rPr>
          <w:rFonts w:ascii="Times New Roman" w:hAnsi="Times New Roman" w:cs="Times New Roman"/>
          <w:sz w:val="24"/>
          <w:szCs w:val="24"/>
          <w:u w:val="single"/>
        </w:rPr>
        <w:t>s</w:t>
      </w:r>
      <w:r w:rsidRPr="002C0B38">
        <w:rPr>
          <w:rFonts w:ascii="Times New Roman" w:hAnsi="Times New Roman" w:cs="Times New Roman"/>
          <w:sz w:val="24"/>
          <w:szCs w:val="24"/>
          <w:u w:val="single"/>
        </w:rPr>
        <w:t>:</w:t>
      </w:r>
    </w:p>
    <w:p w:rsidR="00A74D98" w:rsidRDefault="00A74D98" w:rsidP="00B73602">
      <w:pPr>
        <w:spacing w:after="0"/>
        <w:contextualSpacing/>
        <w:rPr>
          <w:rFonts w:ascii="Times New Roman" w:hAnsi="Times New Roman" w:cs="Times New Roman"/>
          <w:sz w:val="24"/>
          <w:szCs w:val="24"/>
        </w:rPr>
      </w:pPr>
    </w:p>
    <w:p w:rsidR="00A74D98" w:rsidRDefault="00A74D98" w:rsidP="00B73602">
      <w:pPr>
        <w:spacing w:after="0"/>
        <w:contextualSpacing/>
        <w:rPr>
          <w:rFonts w:ascii="Times New Roman" w:hAnsi="Times New Roman" w:cs="Times New Roman"/>
          <w:sz w:val="24"/>
          <w:szCs w:val="24"/>
        </w:rPr>
      </w:pPr>
      <w:r>
        <w:rPr>
          <w:rFonts w:ascii="Times New Roman" w:hAnsi="Times New Roman" w:cs="Times New Roman"/>
          <w:sz w:val="24"/>
          <w:szCs w:val="24"/>
        </w:rPr>
        <w:t>DOF should provide specific guidance to applicants for benefits as to the next step in an application process.</w:t>
      </w:r>
      <w:r w:rsidR="00827A32">
        <w:rPr>
          <w:rFonts w:ascii="Times New Roman" w:hAnsi="Times New Roman" w:cs="Times New Roman"/>
          <w:sz w:val="24"/>
          <w:szCs w:val="24"/>
        </w:rPr>
        <w:t xml:space="preserve"> DOF sh</w:t>
      </w:r>
      <w:r w:rsidR="009853B0">
        <w:rPr>
          <w:rFonts w:ascii="Times New Roman" w:hAnsi="Times New Roman" w:cs="Times New Roman"/>
          <w:sz w:val="24"/>
          <w:szCs w:val="24"/>
        </w:rPr>
        <w:t>ould includ</w:t>
      </w:r>
      <w:r w:rsidR="001F1218">
        <w:rPr>
          <w:rFonts w:ascii="Times New Roman" w:hAnsi="Times New Roman" w:cs="Times New Roman"/>
          <w:sz w:val="24"/>
          <w:szCs w:val="24"/>
        </w:rPr>
        <w:t>e follow-up language, such as</w:t>
      </w:r>
      <w:r w:rsidR="009853B0">
        <w:rPr>
          <w:rFonts w:ascii="Times New Roman" w:hAnsi="Times New Roman" w:cs="Times New Roman"/>
          <w:sz w:val="24"/>
          <w:szCs w:val="24"/>
        </w:rPr>
        <w:t>, “taxpayers should expect to hear from DOF in no less than 90 days from the date of submission.”</w:t>
      </w:r>
      <w:r w:rsidR="009853B0" w:rsidRPr="009853B0">
        <w:rPr>
          <w:rFonts w:ascii="Times New Roman" w:eastAsiaTheme="minorEastAsia" w:hAnsi="Times New Roman" w:cs="Times New Roman"/>
          <w:kern w:val="24"/>
          <w:sz w:val="24"/>
          <w:szCs w:val="24"/>
        </w:rPr>
        <w:t xml:space="preserve"> </w:t>
      </w:r>
      <w:r w:rsidR="009853B0" w:rsidRPr="00FB16A0">
        <w:rPr>
          <w:rFonts w:ascii="Times New Roman" w:eastAsiaTheme="minorEastAsia" w:hAnsi="Times New Roman" w:cs="Times New Roman"/>
          <w:kern w:val="24"/>
          <w:sz w:val="24"/>
          <w:szCs w:val="24"/>
        </w:rPr>
        <w:t>Such procedure can be detailed either on the application itself or on any automatic confirmations sent regarding their filing.</w:t>
      </w:r>
    </w:p>
    <w:p w:rsidR="00B73602" w:rsidRPr="00FB16A0" w:rsidRDefault="00B73602" w:rsidP="00B73602">
      <w:pPr>
        <w:spacing w:after="0"/>
        <w:rPr>
          <w:rFonts w:ascii="Times New Roman" w:eastAsiaTheme="minorEastAsia" w:hAnsi="Times New Roman" w:cs="Times New Roman"/>
          <w:kern w:val="24"/>
          <w:sz w:val="24"/>
          <w:szCs w:val="24"/>
        </w:rPr>
      </w:pPr>
    </w:p>
    <w:p w:rsidR="00B73602" w:rsidRPr="00FB16A0" w:rsidRDefault="009853B0" w:rsidP="00B73602">
      <w:pPr>
        <w:spacing w:after="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DOF also might consider modeling tracking software after the portion of the IRS website set aside for taxpayers tracking the status of their refund (entitled “Where’s My Refund?”).</w:t>
      </w:r>
      <w:r w:rsidR="001F1218">
        <w:rPr>
          <w:rStyle w:val="FootnoteReference"/>
          <w:rFonts w:ascii="Times New Roman" w:eastAsiaTheme="minorEastAsia" w:hAnsi="Times New Roman" w:cs="Times New Roman"/>
          <w:kern w:val="24"/>
          <w:sz w:val="24"/>
          <w:szCs w:val="24"/>
        </w:rPr>
        <w:footnoteReference w:id="12"/>
      </w:r>
      <w:r>
        <w:rPr>
          <w:rFonts w:ascii="Times New Roman" w:eastAsiaTheme="minorEastAsia" w:hAnsi="Times New Roman" w:cs="Times New Roman"/>
          <w:kern w:val="24"/>
          <w:sz w:val="24"/>
          <w:szCs w:val="24"/>
        </w:rPr>
        <w:t xml:space="preserve"> </w:t>
      </w:r>
      <w:r w:rsidR="00B73602" w:rsidRPr="00FB16A0">
        <w:rPr>
          <w:rFonts w:ascii="Times New Roman" w:eastAsiaTheme="minorEastAsia" w:hAnsi="Times New Roman" w:cs="Times New Roman"/>
          <w:kern w:val="24"/>
          <w:sz w:val="24"/>
          <w:szCs w:val="24"/>
        </w:rPr>
        <w:t xml:space="preserve">If more resources are </w:t>
      </w:r>
      <w:r w:rsidR="00B73602">
        <w:rPr>
          <w:rFonts w:ascii="Times New Roman" w:eastAsiaTheme="minorEastAsia" w:hAnsi="Times New Roman" w:cs="Times New Roman"/>
          <w:kern w:val="24"/>
          <w:sz w:val="24"/>
          <w:szCs w:val="24"/>
        </w:rPr>
        <w:t>allocated</w:t>
      </w:r>
      <w:r w:rsidR="00B73602" w:rsidRPr="00FB16A0">
        <w:rPr>
          <w:rFonts w:ascii="Times New Roman" w:eastAsiaTheme="minorEastAsia" w:hAnsi="Times New Roman" w:cs="Times New Roman"/>
          <w:kern w:val="24"/>
          <w:sz w:val="24"/>
          <w:szCs w:val="24"/>
        </w:rPr>
        <w:t xml:space="preserve"> to the process, a section of internal </w:t>
      </w:r>
      <w:r>
        <w:rPr>
          <w:rFonts w:ascii="Times New Roman" w:eastAsiaTheme="minorEastAsia" w:hAnsi="Times New Roman" w:cs="Times New Roman"/>
          <w:kern w:val="24"/>
          <w:sz w:val="24"/>
          <w:szCs w:val="24"/>
        </w:rPr>
        <w:t xml:space="preserve">DOF </w:t>
      </w:r>
      <w:r w:rsidR="00B73602" w:rsidRPr="00FB16A0">
        <w:rPr>
          <w:rFonts w:ascii="Times New Roman" w:eastAsiaTheme="minorEastAsia" w:hAnsi="Times New Roman" w:cs="Times New Roman"/>
          <w:kern w:val="24"/>
          <w:sz w:val="24"/>
          <w:szCs w:val="24"/>
        </w:rPr>
        <w:t xml:space="preserve">databases could be made public, </w:t>
      </w:r>
      <w:r w:rsidR="00B73602">
        <w:rPr>
          <w:rFonts w:ascii="Times New Roman" w:eastAsiaTheme="minorEastAsia" w:hAnsi="Times New Roman" w:cs="Times New Roman"/>
          <w:kern w:val="24"/>
          <w:sz w:val="24"/>
          <w:szCs w:val="24"/>
        </w:rPr>
        <w:t>to allow the taxpayer to</w:t>
      </w:r>
      <w:r w:rsidR="00B73602" w:rsidRPr="00FB16A0">
        <w:rPr>
          <w:rFonts w:ascii="Times New Roman" w:eastAsiaTheme="minorEastAsia" w:hAnsi="Times New Roman" w:cs="Times New Roman"/>
          <w:kern w:val="24"/>
          <w:sz w:val="24"/>
          <w:szCs w:val="24"/>
        </w:rPr>
        <w:t xml:space="preserve"> check the status of an application</w:t>
      </w:r>
      <w:r w:rsidR="00B73602">
        <w:rPr>
          <w:rFonts w:ascii="Times New Roman" w:eastAsiaTheme="minorEastAsia" w:hAnsi="Times New Roman" w:cs="Times New Roman"/>
          <w:kern w:val="24"/>
          <w:sz w:val="24"/>
          <w:szCs w:val="24"/>
        </w:rPr>
        <w:t>, or if mailed documents were received,</w:t>
      </w:r>
      <w:r w:rsidR="00B73602" w:rsidRPr="00FB16A0">
        <w:rPr>
          <w:rFonts w:ascii="Times New Roman" w:eastAsiaTheme="minorEastAsia" w:hAnsi="Times New Roman" w:cs="Times New Roman"/>
          <w:kern w:val="24"/>
          <w:sz w:val="24"/>
          <w:szCs w:val="24"/>
        </w:rPr>
        <w:t xml:space="preserve"> without resorting to frequent telephone calls to OTA</w:t>
      </w:r>
      <w:r w:rsidR="00B73602">
        <w:rPr>
          <w:rFonts w:ascii="Times New Roman" w:eastAsiaTheme="minorEastAsia" w:hAnsi="Times New Roman" w:cs="Times New Roman"/>
          <w:kern w:val="24"/>
          <w:sz w:val="24"/>
          <w:szCs w:val="24"/>
        </w:rPr>
        <w:t xml:space="preserve"> or other DOF staff</w:t>
      </w:r>
      <w:r w:rsidR="00B73602" w:rsidRPr="00FB16A0">
        <w:rPr>
          <w:rFonts w:ascii="Times New Roman" w:eastAsiaTheme="minorEastAsia" w:hAnsi="Times New Roman" w:cs="Times New Roman"/>
          <w:kern w:val="24"/>
          <w:sz w:val="24"/>
          <w:szCs w:val="24"/>
        </w:rPr>
        <w:t>.</w:t>
      </w:r>
    </w:p>
    <w:p w:rsidR="00B73602" w:rsidRDefault="00B73602" w:rsidP="00B73602">
      <w:pPr>
        <w:spacing w:after="0"/>
        <w:rPr>
          <w:rFonts w:ascii="Times New Roman" w:hAnsi="Times New Roman" w:cs="Times New Roman"/>
          <w:sz w:val="24"/>
          <w:szCs w:val="24"/>
        </w:rPr>
      </w:pPr>
    </w:p>
    <w:p w:rsidR="00B73602" w:rsidRPr="00830C78" w:rsidRDefault="00B73602" w:rsidP="00830C78">
      <w:pPr>
        <w:pStyle w:val="ListParagraph"/>
        <w:keepNext/>
        <w:numPr>
          <w:ilvl w:val="0"/>
          <w:numId w:val="18"/>
        </w:numPr>
        <w:rPr>
          <w:rFonts w:ascii="Times New Roman" w:hAnsi="Times New Roman" w:cs="Times New Roman"/>
          <w:b/>
          <w:sz w:val="28"/>
          <w:szCs w:val="28"/>
          <w:u w:val="single"/>
        </w:rPr>
      </w:pPr>
      <w:r w:rsidRPr="00D02667">
        <w:rPr>
          <w:rFonts w:ascii="Times New Roman" w:hAnsi="Times New Roman" w:cs="Times New Roman"/>
          <w:b/>
          <w:sz w:val="28"/>
          <w:szCs w:val="28"/>
          <w:u w:val="single"/>
        </w:rPr>
        <w:lastRenderedPageBreak/>
        <w:t>DOF Rules, Policies</w:t>
      </w:r>
      <w:r w:rsidR="009822CD">
        <w:rPr>
          <w:rFonts w:ascii="Times New Roman" w:hAnsi="Times New Roman" w:cs="Times New Roman"/>
          <w:b/>
          <w:sz w:val="28"/>
          <w:szCs w:val="28"/>
          <w:u w:val="single"/>
        </w:rPr>
        <w:t>,</w:t>
      </w:r>
      <w:r w:rsidRPr="00D02667">
        <w:rPr>
          <w:rFonts w:ascii="Times New Roman" w:hAnsi="Times New Roman" w:cs="Times New Roman"/>
          <w:b/>
          <w:sz w:val="28"/>
          <w:szCs w:val="28"/>
          <w:u w:val="single"/>
        </w:rPr>
        <w:t xml:space="preserve"> and Procedures</w:t>
      </w:r>
    </w:p>
    <w:p w:rsidR="000C2F48" w:rsidRDefault="000C2F48" w:rsidP="000C2F48">
      <w:pPr>
        <w:keepNext/>
        <w:spacing w:after="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 xml:space="preserve">In order to better serve DOF’s mission of instilling public confidence, encouraging compliance, and providing exceptional customer service, OTA is recommending changes to certain DOF </w:t>
      </w:r>
    </w:p>
    <w:p w:rsidR="000C2F48" w:rsidRDefault="009822CD" w:rsidP="00B73602">
      <w:pPr>
        <w:keepNext/>
        <w:spacing w:after="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 xml:space="preserve">rules, </w:t>
      </w:r>
      <w:r w:rsidR="008160F5">
        <w:rPr>
          <w:rFonts w:ascii="Times New Roman" w:eastAsiaTheme="minorEastAsia" w:hAnsi="Times New Roman" w:cs="Times New Roman"/>
          <w:kern w:val="24"/>
          <w:sz w:val="24"/>
          <w:szCs w:val="24"/>
        </w:rPr>
        <w:t>policies</w:t>
      </w:r>
      <w:r>
        <w:rPr>
          <w:rFonts w:ascii="Times New Roman" w:eastAsiaTheme="minorEastAsia" w:hAnsi="Times New Roman" w:cs="Times New Roman"/>
          <w:kern w:val="24"/>
          <w:sz w:val="24"/>
          <w:szCs w:val="24"/>
        </w:rPr>
        <w:t>,</w:t>
      </w:r>
      <w:r w:rsidR="008160F5">
        <w:rPr>
          <w:rFonts w:ascii="Times New Roman" w:eastAsiaTheme="minorEastAsia" w:hAnsi="Times New Roman" w:cs="Times New Roman"/>
          <w:kern w:val="24"/>
          <w:sz w:val="24"/>
          <w:szCs w:val="24"/>
        </w:rPr>
        <w:t xml:space="preserve"> </w:t>
      </w:r>
      <w:r w:rsidR="00424A4A">
        <w:rPr>
          <w:rFonts w:ascii="Times New Roman" w:eastAsiaTheme="minorEastAsia" w:hAnsi="Times New Roman" w:cs="Times New Roman"/>
          <w:kern w:val="24"/>
          <w:sz w:val="24"/>
          <w:szCs w:val="24"/>
        </w:rPr>
        <w:t>and procedures</w:t>
      </w:r>
      <w:r w:rsidR="000C2F48">
        <w:rPr>
          <w:rFonts w:ascii="Times New Roman" w:eastAsiaTheme="minorEastAsia" w:hAnsi="Times New Roman" w:cs="Times New Roman"/>
          <w:kern w:val="24"/>
          <w:sz w:val="24"/>
          <w:szCs w:val="24"/>
        </w:rPr>
        <w:t xml:space="preserve">, more fully described below. </w:t>
      </w:r>
    </w:p>
    <w:p w:rsidR="000C2F48" w:rsidRDefault="000C2F48" w:rsidP="00B73602">
      <w:pPr>
        <w:keepNext/>
        <w:spacing w:after="0"/>
        <w:rPr>
          <w:rFonts w:ascii="Times New Roman" w:eastAsiaTheme="minorEastAsia" w:hAnsi="Times New Roman" w:cs="Times New Roman"/>
          <w:kern w:val="24"/>
          <w:sz w:val="24"/>
          <w:szCs w:val="24"/>
        </w:rPr>
      </w:pPr>
    </w:p>
    <w:p w:rsidR="00B73602" w:rsidRDefault="00B73602" w:rsidP="00B73602">
      <w:pPr>
        <w:keepNext/>
        <w:spacing w:after="0"/>
        <w:rPr>
          <w:rFonts w:ascii="Times New Roman" w:eastAsiaTheme="minorEastAsia" w:hAnsi="Times New Roman" w:cs="Times New Roman"/>
          <w:b/>
          <w:i/>
          <w:kern w:val="24"/>
          <w:sz w:val="24"/>
          <w:szCs w:val="24"/>
        </w:rPr>
      </w:pPr>
      <w:r>
        <w:rPr>
          <w:rFonts w:ascii="Times New Roman" w:eastAsiaTheme="minorEastAsia" w:hAnsi="Times New Roman" w:cs="Times New Roman"/>
          <w:b/>
          <w:i/>
          <w:kern w:val="24"/>
          <w:sz w:val="24"/>
          <w:szCs w:val="24"/>
        </w:rPr>
        <w:t xml:space="preserve">Responding to </w:t>
      </w:r>
      <w:r w:rsidRPr="00191B6D">
        <w:rPr>
          <w:rFonts w:ascii="Times New Roman" w:eastAsiaTheme="minorEastAsia" w:hAnsi="Times New Roman" w:cs="Times New Roman"/>
          <w:b/>
          <w:i/>
          <w:kern w:val="24"/>
          <w:sz w:val="24"/>
          <w:szCs w:val="24"/>
        </w:rPr>
        <w:t xml:space="preserve">Billing </w:t>
      </w:r>
      <w:r>
        <w:rPr>
          <w:rFonts w:ascii="Times New Roman" w:eastAsiaTheme="minorEastAsia" w:hAnsi="Times New Roman" w:cs="Times New Roman"/>
          <w:b/>
          <w:i/>
          <w:kern w:val="24"/>
          <w:sz w:val="24"/>
          <w:szCs w:val="24"/>
        </w:rPr>
        <w:t xml:space="preserve">and Collection </w:t>
      </w:r>
      <w:r w:rsidRPr="00191B6D">
        <w:rPr>
          <w:rFonts w:ascii="Times New Roman" w:eastAsiaTheme="minorEastAsia" w:hAnsi="Times New Roman" w:cs="Times New Roman"/>
          <w:b/>
          <w:i/>
          <w:kern w:val="24"/>
          <w:sz w:val="24"/>
          <w:szCs w:val="24"/>
        </w:rPr>
        <w:t xml:space="preserve">Inquiries </w:t>
      </w:r>
    </w:p>
    <w:p w:rsidR="00B73602" w:rsidRDefault="00B73602" w:rsidP="00B73602">
      <w:pPr>
        <w:keepNext/>
        <w:spacing w:after="0"/>
        <w:rPr>
          <w:rFonts w:ascii="Times New Roman" w:eastAsiaTheme="minorEastAsia" w:hAnsi="Times New Roman" w:cs="Times New Roman"/>
          <w:b/>
          <w:i/>
          <w:kern w:val="24"/>
          <w:sz w:val="24"/>
          <w:szCs w:val="24"/>
        </w:rPr>
      </w:pPr>
    </w:p>
    <w:p w:rsidR="00942CFC" w:rsidRPr="00942CFC" w:rsidRDefault="009822CD" w:rsidP="00B73602">
      <w:pPr>
        <w:keepNext/>
        <w:spacing w:after="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OTA has fielded complain</w:t>
      </w:r>
      <w:r w:rsidR="00D96A64">
        <w:rPr>
          <w:rFonts w:ascii="Times New Roman" w:eastAsiaTheme="minorEastAsia" w:hAnsi="Times New Roman" w:cs="Times New Roman"/>
          <w:kern w:val="24"/>
          <w:sz w:val="24"/>
          <w:szCs w:val="24"/>
        </w:rPr>
        <w:t>t</w:t>
      </w:r>
      <w:r>
        <w:rPr>
          <w:rFonts w:ascii="Times New Roman" w:eastAsiaTheme="minorEastAsia" w:hAnsi="Times New Roman" w:cs="Times New Roman"/>
          <w:kern w:val="24"/>
          <w:sz w:val="24"/>
          <w:szCs w:val="24"/>
        </w:rPr>
        <w:t xml:space="preserve">s from taxpayers that DOF representatives do not answer phone calls or e-mails, including those </w:t>
      </w:r>
      <w:r w:rsidR="00D96A64">
        <w:rPr>
          <w:rFonts w:ascii="Times New Roman" w:eastAsiaTheme="minorEastAsia" w:hAnsi="Times New Roman" w:cs="Times New Roman"/>
          <w:kern w:val="24"/>
          <w:sz w:val="24"/>
          <w:szCs w:val="24"/>
        </w:rPr>
        <w:t xml:space="preserve">numbers provided on notices and forms. </w:t>
      </w:r>
    </w:p>
    <w:p w:rsidR="00942CFC" w:rsidRPr="00942CFC" w:rsidRDefault="00942CFC" w:rsidP="00942CFC">
      <w:pPr>
        <w:spacing w:after="0"/>
        <w:rPr>
          <w:rFonts w:ascii="Times New Roman" w:eastAsiaTheme="minorEastAsia" w:hAnsi="Times New Roman" w:cs="Times New Roman"/>
          <w:kern w:val="24"/>
          <w:sz w:val="24"/>
          <w:szCs w:val="24"/>
        </w:rPr>
      </w:pPr>
    </w:p>
    <w:p w:rsidR="00942CFC" w:rsidRPr="002C0B38" w:rsidRDefault="00942CFC" w:rsidP="008160F5">
      <w:pPr>
        <w:keepNext/>
        <w:spacing w:after="0"/>
        <w:rPr>
          <w:rFonts w:ascii="Times New Roman" w:eastAsiaTheme="minorEastAsia" w:hAnsi="Times New Roman" w:cs="Times New Roman"/>
          <w:kern w:val="24"/>
          <w:sz w:val="24"/>
          <w:szCs w:val="24"/>
          <w:u w:val="single"/>
        </w:rPr>
      </w:pPr>
      <w:r w:rsidRPr="002C0B38">
        <w:rPr>
          <w:rFonts w:ascii="Times New Roman" w:eastAsiaTheme="minorEastAsia" w:hAnsi="Times New Roman" w:cs="Times New Roman"/>
          <w:kern w:val="24"/>
          <w:sz w:val="24"/>
          <w:szCs w:val="24"/>
          <w:u w:val="single"/>
        </w:rPr>
        <w:t>Recommendation</w:t>
      </w:r>
      <w:r w:rsidR="00A22B09">
        <w:rPr>
          <w:rFonts w:ascii="Times New Roman" w:eastAsiaTheme="minorEastAsia" w:hAnsi="Times New Roman" w:cs="Times New Roman"/>
          <w:kern w:val="24"/>
          <w:sz w:val="24"/>
          <w:szCs w:val="24"/>
          <w:u w:val="single"/>
        </w:rPr>
        <w:t>s</w:t>
      </w:r>
      <w:r w:rsidRPr="002C0B38">
        <w:rPr>
          <w:rFonts w:ascii="Times New Roman" w:eastAsiaTheme="minorEastAsia" w:hAnsi="Times New Roman" w:cs="Times New Roman"/>
          <w:kern w:val="24"/>
          <w:sz w:val="24"/>
          <w:szCs w:val="24"/>
          <w:u w:val="single"/>
        </w:rPr>
        <w:t>:</w:t>
      </w:r>
    </w:p>
    <w:p w:rsidR="00942CFC" w:rsidRPr="00942CFC" w:rsidRDefault="00942CFC" w:rsidP="008160F5">
      <w:pPr>
        <w:keepNext/>
        <w:spacing w:after="0"/>
        <w:rPr>
          <w:rFonts w:ascii="Times New Roman" w:eastAsiaTheme="minorEastAsia" w:hAnsi="Times New Roman" w:cs="Times New Roman"/>
          <w:b/>
          <w:kern w:val="24"/>
          <w:sz w:val="24"/>
          <w:szCs w:val="24"/>
        </w:rPr>
      </w:pPr>
    </w:p>
    <w:p w:rsidR="009853B0" w:rsidRPr="00971EAC" w:rsidRDefault="00942CFC" w:rsidP="00971EAC">
      <w:pPr>
        <w:keepNext/>
        <w:spacing w:after="0"/>
        <w:rPr>
          <w:rFonts w:ascii="Times New Roman" w:eastAsiaTheme="minorEastAsia" w:hAnsi="Times New Roman" w:cs="Times New Roman"/>
          <w:kern w:val="24"/>
          <w:sz w:val="24"/>
          <w:szCs w:val="24"/>
          <w:u w:val="single"/>
        </w:rPr>
      </w:pPr>
      <w:r w:rsidRPr="00942CFC">
        <w:rPr>
          <w:rFonts w:ascii="Times New Roman" w:eastAsiaTheme="minorEastAsia" w:hAnsi="Times New Roman" w:cs="Times New Roman"/>
          <w:kern w:val="24"/>
          <w:sz w:val="24"/>
          <w:szCs w:val="24"/>
        </w:rPr>
        <w:t>DOF should review all notices with contact in</w:t>
      </w:r>
      <w:r w:rsidR="00B908E6">
        <w:rPr>
          <w:rFonts w:ascii="Times New Roman" w:eastAsiaTheme="minorEastAsia" w:hAnsi="Times New Roman" w:cs="Times New Roman"/>
          <w:kern w:val="24"/>
          <w:sz w:val="24"/>
          <w:szCs w:val="24"/>
        </w:rPr>
        <w:t>formation</w:t>
      </w:r>
      <w:r w:rsidRPr="00942CFC">
        <w:rPr>
          <w:rFonts w:ascii="Times New Roman" w:eastAsiaTheme="minorEastAsia" w:hAnsi="Times New Roman" w:cs="Times New Roman"/>
          <w:kern w:val="24"/>
          <w:sz w:val="24"/>
          <w:szCs w:val="24"/>
        </w:rPr>
        <w:t xml:space="preserve"> to </w:t>
      </w:r>
      <w:r w:rsidR="00B908E6">
        <w:rPr>
          <w:rFonts w:ascii="Times New Roman" w:eastAsiaTheme="minorEastAsia" w:hAnsi="Times New Roman" w:cs="Times New Roman"/>
          <w:kern w:val="24"/>
          <w:sz w:val="24"/>
          <w:szCs w:val="24"/>
        </w:rPr>
        <w:t xml:space="preserve">identify which numbers are going unanswered. </w:t>
      </w:r>
    </w:p>
    <w:p w:rsidR="009853B0" w:rsidRDefault="009853B0" w:rsidP="00B73602">
      <w:pPr>
        <w:spacing w:after="0"/>
        <w:contextualSpacing/>
        <w:rPr>
          <w:rFonts w:ascii="Times New Roman" w:eastAsiaTheme="minorEastAsia" w:hAnsi="Times New Roman" w:cs="Times New Roman"/>
          <w:kern w:val="24"/>
          <w:sz w:val="24"/>
          <w:szCs w:val="24"/>
        </w:rPr>
      </w:pPr>
    </w:p>
    <w:p w:rsidR="00B73602" w:rsidRDefault="00B73602" w:rsidP="002413C6">
      <w:pPr>
        <w:keepNext/>
        <w:spacing w:after="0"/>
        <w:contextualSpacing/>
        <w:rPr>
          <w:rFonts w:ascii="Times New Roman" w:eastAsiaTheme="minorEastAsia" w:hAnsi="Times New Roman" w:cs="Times New Roman"/>
          <w:b/>
          <w:i/>
          <w:kern w:val="24"/>
          <w:sz w:val="24"/>
          <w:szCs w:val="24"/>
        </w:rPr>
      </w:pPr>
      <w:r w:rsidRPr="009809BA">
        <w:rPr>
          <w:rFonts w:ascii="Times New Roman" w:eastAsiaTheme="minorEastAsia" w:hAnsi="Times New Roman" w:cs="Times New Roman"/>
          <w:b/>
          <w:i/>
          <w:kern w:val="24"/>
          <w:sz w:val="24"/>
          <w:szCs w:val="24"/>
        </w:rPr>
        <w:t>Warrant Issues</w:t>
      </w:r>
    </w:p>
    <w:p w:rsidR="002413C6" w:rsidRPr="009809BA" w:rsidRDefault="002413C6" w:rsidP="002413C6">
      <w:pPr>
        <w:keepNext/>
        <w:spacing w:after="0"/>
        <w:contextualSpacing/>
        <w:rPr>
          <w:rFonts w:ascii="Times New Roman" w:eastAsiaTheme="minorEastAsia" w:hAnsi="Times New Roman" w:cs="Times New Roman"/>
          <w:b/>
          <w:i/>
          <w:kern w:val="24"/>
          <w:sz w:val="24"/>
          <w:szCs w:val="24"/>
        </w:rPr>
      </w:pPr>
    </w:p>
    <w:p w:rsidR="00B73602" w:rsidRPr="00B908E6" w:rsidRDefault="00B73602" w:rsidP="00B73602">
      <w:pPr>
        <w:pStyle w:val="ListParagraph"/>
        <w:numPr>
          <w:ilvl w:val="0"/>
          <w:numId w:val="20"/>
        </w:numPr>
        <w:spacing w:after="0"/>
        <w:rPr>
          <w:rFonts w:ascii="Times New Roman" w:eastAsiaTheme="minorEastAsia" w:hAnsi="Times New Roman" w:cs="Times New Roman"/>
          <w:kern w:val="24"/>
          <w:sz w:val="24"/>
          <w:szCs w:val="24"/>
        </w:rPr>
      </w:pPr>
      <w:r w:rsidRPr="00B908E6">
        <w:rPr>
          <w:rFonts w:ascii="Times New Roman" w:hAnsi="Times New Roman" w:cs="Times New Roman"/>
          <w:sz w:val="24"/>
          <w:szCs w:val="24"/>
        </w:rPr>
        <w:t>Taxpayers</w:t>
      </w:r>
      <w:r w:rsidR="00B908E6" w:rsidRPr="00B908E6">
        <w:rPr>
          <w:rFonts w:ascii="Times New Roman" w:hAnsi="Times New Roman" w:cs="Times New Roman"/>
          <w:sz w:val="24"/>
          <w:szCs w:val="24"/>
        </w:rPr>
        <w:t xml:space="preserve"> </w:t>
      </w:r>
      <w:r w:rsidR="00E53CAF" w:rsidRPr="00B908E6">
        <w:rPr>
          <w:rFonts w:ascii="Times New Roman" w:hAnsi="Times New Roman" w:cs="Times New Roman"/>
          <w:sz w:val="24"/>
          <w:szCs w:val="24"/>
        </w:rPr>
        <w:t>who receive no response from their</w:t>
      </w:r>
      <w:r w:rsidR="00B908E6" w:rsidRPr="00B908E6">
        <w:rPr>
          <w:rFonts w:ascii="Times New Roman" w:hAnsi="Times New Roman" w:cs="Times New Roman"/>
          <w:sz w:val="24"/>
          <w:szCs w:val="24"/>
        </w:rPr>
        <w:t xml:space="preserve"> attempts to communicate with DOF in response to a Notice of Tax Due may</w:t>
      </w:r>
      <w:r w:rsidR="00E53CAF" w:rsidRPr="00B908E6">
        <w:rPr>
          <w:rFonts w:ascii="Times New Roman" w:hAnsi="Times New Roman" w:cs="Times New Roman"/>
          <w:sz w:val="24"/>
          <w:szCs w:val="24"/>
        </w:rPr>
        <w:t xml:space="preserve"> be issued a warrant.</w:t>
      </w:r>
      <w:r w:rsidR="00B908E6" w:rsidRPr="00B908E6">
        <w:rPr>
          <w:rFonts w:ascii="Times New Roman" w:hAnsi="Times New Roman" w:cs="Times New Roman"/>
          <w:sz w:val="24"/>
          <w:szCs w:val="24"/>
        </w:rPr>
        <w:t xml:space="preserve"> DOF should not issue </w:t>
      </w:r>
      <w:r w:rsidRPr="00B908E6">
        <w:rPr>
          <w:rFonts w:ascii="Times New Roman" w:hAnsi="Times New Roman" w:cs="Times New Roman"/>
          <w:sz w:val="24"/>
          <w:szCs w:val="24"/>
        </w:rPr>
        <w:t>warran</w:t>
      </w:r>
      <w:r w:rsidR="00B908E6" w:rsidRPr="00B908E6">
        <w:rPr>
          <w:rFonts w:ascii="Times New Roman" w:hAnsi="Times New Roman" w:cs="Times New Roman"/>
          <w:sz w:val="24"/>
          <w:szCs w:val="24"/>
        </w:rPr>
        <w:t xml:space="preserve">ts </w:t>
      </w:r>
      <w:r w:rsidRPr="00B908E6">
        <w:rPr>
          <w:rFonts w:ascii="Times New Roman" w:hAnsi="Times New Roman" w:cs="Times New Roman"/>
          <w:sz w:val="24"/>
          <w:szCs w:val="24"/>
        </w:rPr>
        <w:t>without ensuring that all inquiries are answered</w:t>
      </w:r>
      <w:r w:rsidR="00B908E6" w:rsidRPr="00B908E6">
        <w:rPr>
          <w:rFonts w:ascii="Times New Roman" w:hAnsi="Times New Roman" w:cs="Times New Roman"/>
          <w:sz w:val="24"/>
          <w:szCs w:val="24"/>
        </w:rPr>
        <w:t>.</w:t>
      </w:r>
      <w:r w:rsidRPr="00B908E6">
        <w:rPr>
          <w:rFonts w:ascii="Times New Roman" w:hAnsi="Times New Roman" w:cs="Times New Roman"/>
          <w:sz w:val="24"/>
          <w:szCs w:val="24"/>
        </w:rPr>
        <w:t xml:space="preserve"> </w:t>
      </w:r>
    </w:p>
    <w:p w:rsidR="00B908E6" w:rsidRPr="00B908E6" w:rsidRDefault="00B908E6" w:rsidP="00B908E6">
      <w:pPr>
        <w:pStyle w:val="ListParagraph"/>
        <w:spacing w:after="0"/>
        <w:rPr>
          <w:rFonts w:ascii="Times New Roman" w:eastAsiaTheme="minorEastAsia" w:hAnsi="Times New Roman" w:cs="Times New Roman"/>
          <w:kern w:val="24"/>
          <w:sz w:val="24"/>
          <w:szCs w:val="24"/>
        </w:rPr>
      </w:pPr>
    </w:p>
    <w:p w:rsidR="00B73602" w:rsidRPr="00B908E6" w:rsidRDefault="00B73602" w:rsidP="00B73602">
      <w:pPr>
        <w:pStyle w:val="ListParagraph"/>
        <w:numPr>
          <w:ilvl w:val="0"/>
          <w:numId w:val="20"/>
        </w:numPr>
        <w:spacing w:after="0"/>
        <w:rPr>
          <w:rFonts w:ascii="Times New Roman" w:eastAsiaTheme="minorEastAsia" w:hAnsi="Times New Roman" w:cs="Times New Roman"/>
          <w:kern w:val="24"/>
          <w:sz w:val="24"/>
          <w:szCs w:val="24"/>
        </w:rPr>
      </w:pPr>
      <w:r w:rsidRPr="00B908E6">
        <w:rPr>
          <w:rFonts w:ascii="Times New Roman" w:hAnsi="Times New Roman" w:cs="Times New Roman"/>
          <w:sz w:val="24"/>
          <w:szCs w:val="24"/>
        </w:rPr>
        <w:t xml:space="preserve">In certain instances DOF issues a warrant in error and </w:t>
      </w:r>
      <w:r w:rsidR="00B908E6" w:rsidRPr="00B908E6">
        <w:rPr>
          <w:rFonts w:ascii="Times New Roman" w:hAnsi="Times New Roman" w:cs="Times New Roman"/>
          <w:sz w:val="24"/>
          <w:szCs w:val="24"/>
        </w:rPr>
        <w:t xml:space="preserve">then </w:t>
      </w:r>
      <w:r w:rsidRPr="00B908E6">
        <w:rPr>
          <w:rFonts w:ascii="Times New Roman" w:hAnsi="Times New Roman" w:cs="Times New Roman"/>
          <w:sz w:val="24"/>
          <w:szCs w:val="24"/>
        </w:rPr>
        <w:t>corrects th</w:t>
      </w:r>
      <w:r w:rsidR="00B908E6" w:rsidRPr="00B908E6">
        <w:rPr>
          <w:rFonts w:ascii="Times New Roman" w:hAnsi="Times New Roman" w:cs="Times New Roman"/>
          <w:sz w:val="24"/>
          <w:szCs w:val="24"/>
        </w:rPr>
        <w:t>e</w:t>
      </w:r>
      <w:r w:rsidRPr="00B908E6">
        <w:rPr>
          <w:rFonts w:ascii="Times New Roman" w:hAnsi="Times New Roman" w:cs="Times New Roman"/>
          <w:sz w:val="24"/>
          <w:szCs w:val="24"/>
        </w:rPr>
        <w:t xml:space="preserve"> error through the issuance of a</w:t>
      </w:r>
      <w:r w:rsidR="00B908E6" w:rsidRPr="00B908E6">
        <w:rPr>
          <w:rFonts w:ascii="Times New Roman" w:hAnsi="Times New Roman" w:cs="Times New Roman"/>
          <w:sz w:val="24"/>
          <w:szCs w:val="24"/>
        </w:rPr>
        <w:t xml:space="preserve"> Notice of “S</w:t>
      </w:r>
      <w:r w:rsidRPr="00B908E6">
        <w:rPr>
          <w:rFonts w:ascii="Times New Roman" w:hAnsi="Times New Roman" w:cs="Times New Roman"/>
          <w:sz w:val="24"/>
          <w:szCs w:val="24"/>
        </w:rPr>
        <w:t>atisfaction,” rather than</w:t>
      </w:r>
      <w:r w:rsidR="00B908E6" w:rsidRPr="00B908E6">
        <w:rPr>
          <w:rFonts w:ascii="Times New Roman" w:hAnsi="Times New Roman" w:cs="Times New Roman"/>
          <w:sz w:val="24"/>
          <w:szCs w:val="24"/>
        </w:rPr>
        <w:t xml:space="preserve"> </w:t>
      </w:r>
      <w:r w:rsidRPr="00B908E6">
        <w:rPr>
          <w:rFonts w:ascii="Times New Roman" w:hAnsi="Times New Roman" w:cs="Times New Roman"/>
          <w:sz w:val="24"/>
          <w:szCs w:val="24"/>
        </w:rPr>
        <w:t>vacating the warrant</w:t>
      </w:r>
      <w:r w:rsidR="002413C6" w:rsidRPr="00B908E6">
        <w:rPr>
          <w:rFonts w:ascii="Times New Roman" w:hAnsi="Times New Roman" w:cs="Times New Roman"/>
          <w:sz w:val="24"/>
          <w:szCs w:val="24"/>
        </w:rPr>
        <w:t>.</w:t>
      </w:r>
      <w:r w:rsidR="00B908E6" w:rsidRPr="00B908E6">
        <w:rPr>
          <w:rFonts w:ascii="Times New Roman" w:hAnsi="Times New Roman" w:cs="Times New Roman"/>
          <w:sz w:val="24"/>
          <w:szCs w:val="24"/>
        </w:rPr>
        <w:t xml:space="preserve">  When a warrant is issued in error, it should be vacated automatically</w:t>
      </w:r>
      <w:r w:rsidR="00B908E6">
        <w:rPr>
          <w:rFonts w:ascii="Times New Roman" w:hAnsi="Times New Roman" w:cs="Times New Roman"/>
          <w:sz w:val="24"/>
          <w:szCs w:val="24"/>
        </w:rPr>
        <w:t>.</w:t>
      </w:r>
    </w:p>
    <w:p w:rsidR="002C0B38" w:rsidRPr="00B908E6" w:rsidRDefault="002C0B38" w:rsidP="00B908E6">
      <w:pPr>
        <w:rPr>
          <w:rFonts w:ascii="Times New Roman" w:eastAsiaTheme="minorEastAsia" w:hAnsi="Times New Roman" w:cs="Times New Roman"/>
          <w:kern w:val="24"/>
          <w:sz w:val="24"/>
          <w:szCs w:val="24"/>
        </w:rPr>
      </w:pPr>
    </w:p>
    <w:p w:rsidR="002C0B38" w:rsidRDefault="002C0B38" w:rsidP="00D4570A">
      <w:pPr>
        <w:keepNext/>
        <w:spacing w:after="0"/>
        <w:rPr>
          <w:rFonts w:ascii="Times New Roman" w:eastAsiaTheme="minorEastAsia" w:hAnsi="Times New Roman" w:cs="Times New Roman"/>
          <w:kern w:val="24"/>
          <w:sz w:val="24"/>
          <w:szCs w:val="24"/>
          <w:u w:val="single"/>
        </w:rPr>
      </w:pPr>
      <w:r>
        <w:rPr>
          <w:rFonts w:ascii="Times New Roman" w:eastAsiaTheme="minorEastAsia" w:hAnsi="Times New Roman" w:cs="Times New Roman"/>
          <w:kern w:val="24"/>
          <w:sz w:val="24"/>
          <w:szCs w:val="24"/>
          <w:u w:val="single"/>
        </w:rPr>
        <w:t>Recommendations:</w:t>
      </w:r>
    </w:p>
    <w:p w:rsidR="00D4570A" w:rsidRDefault="00D4570A" w:rsidP="002C0B38">
      <w:pPr>
        <w:spacing w:after="0"/>
        <w:rPr>
          <w:rFonts w:ascii="Times New Roman" w:eastAsiaTheme="minorEastAsia" w:hAnsi="Times New Roman" w:cs="Times New Roman"/>
          <w:kern w:val="24"/>
          <w:sz w:val="24"/>
          <w:szCs w:val="24"/>
        </w:rPr>
      </w:pPr>
    </w:p>
    <w:p w:rsidR="005319E0" w:rsidRDefault="005319E0" w:rsidP="002C0B38">
      <w:pPr>
        <w:spacing w:after="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 xml:space="preserve">DOF should </w:t>
      </w:r>
      <w:r w:rsidR="00CE185F">
        <w:rPr>
          <w:rFonts w:ascii="Times New Roman" w:eastAsiaTheme="minorEastAsia" w:hAnsi="Times New Roman" w:cs="Times New Roman"/>
          <w:kern w:val="24"/>
          <w:sz w:val="24"/>
          <w:szCs w:val="24"/>
        </w:rPr>
        <w:t>place</w:t>
      </w:r>
      <w:r w:rsidR="00B908E6">
        <w:rPr>
          <w:rFonts w:ascii="Times New Roman" w:eastAsiaTheme="minorEastAsia" w:hAnsi="Times New Roman" w:cs="Times New Roman"/>
          <w:kern w:val="24"/>
          <w:sz w:val="24"/>
          <w:szCs w:val="24"/>
        </w:rPr>
        <w:t xml:space="preserve"> a “hold”</w:t>
      </w:r>
      <w:r>
        <w:rPr>
          <w:rFonts w:ascii="Times New Roman" w:eastAsiaTheme="minorEastAsia" w:hAnsi="Times New Roman" w:cs="Times New Roman"/>
          <w:kern w:val="24"/>
          <w:sz w:val="24"/>
          <w:szCs w:val="24"/>
        </w:rPr>
        <w:t xml:space="preserve"> accounts until </w:t>
      </w:r>
      <w:r w:rsidR="00CE185F">
        <w:rPr>
          <w:rFonts w:ascii="Times New Roman" w:eastAsiaTheme="minorEastAsia" w:hAnsi="Times New Roman" w:cs="Times New Roman"/>
          <w:kern w:val="24"/>
          <w:sz w:val="24"/>
          <w:szCs w:val="24"/>
        </w:rPr>
        <w:t xml:space="preserve">the underlying issues are satisfactorily resolved. </w:t>
      </w:r>
    </w:p>
    <w:p w:rsidR="002413C6" w:rsidRPr="002413C6" w:rsidRDefault="002413C6" w:rsidP="002413C6">
      <w:pPr>
        <w:spacing w:after="0"/>
        <w:rPr>
          <w:rFonts w:ascii="Times New Roman" w:eastAsiaTheme="minorEastAsia" w:hAnsi="Times New Roman" w:cs="Times New Roman"/>
          <w:kern w:val="24"/>
          <w:sz w:val="24"/>
          <w:szCs w:val="24"/>
        </w:rPr>
      </w:pPr>
    </w:p>
    <w:p w:rsidR="00B73602" w:rsidRPr="00FB16A0" w:rsidRDefault="00B73602" w:rsidP="00B73602">
      <w:pPr>
        <w:keepNext/>
        <w:spacing w:after="0"/>
        <w:rPr>
          <w:rFonts w:ascii="Times New Roman" w:eastAsiaTheme="minorEastAsia" w:hAnsi="Times New Roman" w:cs="Times New Roman"/>
          <w:b/>
          <w:i/>
          <w:kern w:val="24"/>
          <w:sz w:val="24"/>
          <w:szCs w:val="24"/>
        </w:rPr>
      </w:pPr>
      <w:r w:rsidRPr="00FB16A0">
        <w:rPr>
          <w:rFonts w:ascii="Times New Roman" w:eastAsiaTheme="minorEastAsia" w:hAnsi="Times New Roman" w:cs="Times New Roman"/>
          <w:b/>
          <w:i/>
          <w:kern w:val="24"/>
          <w:sz w:val="24"/>
          <w:szCs w:val="24"/>
        </w:rPr>
        <w:t xml:space="preserve">Property and Business Tax </w:t>
      </w:r>
      <w:r w:rsidR="00D4570A">
        <w:rPr>
          <w:rFonts w:ascii="Times New Roman" w:eastAsiaTheme="minorEastAsia" w:hAnsi="Times New Roman" w:cs="Times New Roman"/>
          <w:b/>
          <w:i/>
          <w:kern w:val="24"/>
          <w:sz w:val="24"/>
          <w:szCs w:val="24"/>
        </w:rPr>
        <w:t>Hardships</w:t>
      </w:r>
      <w:r w:rsidRPr="00FB16A0">
        <w:rPr>
          <w:rFonts w:ascii="Times New Roman" w:eastAsiaTheme="minorEastAsia" w:hAnsi="Times New Roman" w:cs="Times New Roman"/>
          <w:b/>
          <w:i/>
          <w:kern w:val="24"/>
          <w:sz w:val="24"/>
          <w:szCs w:val="24"/>
        </w:rPr>
        <w:t>.</w:t>
      </w:r>
    </w:p>
    <w:p w:rsidR="00B73602" w:rsidRPr="00FB16A0" w:rsidRDefault="00B73602" w:rsidP="00B73602">
      <w:pPr>
        <w:keepNext/>
        <w:spacing w:after="0"/>
        <w:rPr>
          <w:rFonts w:ascii="Times New Roman" w:eastAsiaTheme="minorEastAsia" w:hAnsi="Times New Roman" w:cs="Times New Roman"/>
          <w:b/>
          <w:i/>
          <w:kern w:val="24"/>
          <w:sz w:val="24"/>
          <w:szCs w:val="24"/>
        </w:rPr>
      </w:pPr>
    </w:p>
    <w:p w:rsidR="00B73602" w:rsidRDefault="0044638A" w:rsidP="00B73602">
      <w:pPr>
        <w:spacing w:after="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DOF’s current property tax installment agreements require property owners with arrears to remain current on new charges.</w:t>
      </w:r>
      <w:r w:rsidR="00971EAC">
        <w:rPr>
          <w:rFonts w:ascii="Times New Roman" w:eastAsiaTheme="minorEastAsia" w:hAnsi="Times New Roman" w:cs="Times New Roman"/>
          <w:kern w:val="24"/>
          <w:sz w:val="24"/>
          <w:szCs w:val="24"/>
        </w:rPr>
        <w:t xml:space="preserve"> </w:t>
      </w:r>
      <w:r>
        <w:rPr>
          <w:rFonts w:ascii="Times New Roman" w:eastAsiaTheme="minorEastAsia" w:hAnsi="Times New Roman" w:cs="Times New Roman"/>
          <w:kern w:val="24"/>
          <w:sz w:val="24"/>
          <w:szCs w:val="24"/>
        </w:rPr>
        <w:t xml:space="preserve">More than </w:t>
      </w:r>
      <w:r w:rsidR="00B73602">
        <w:rPr>
          <w:rFonts w:ascii="Times New Roman" w:eastAsiaTheme="minorEastAsia" w:hAnsi="Times New Roman" w:cs="Times New Roman"/>
          <w:kern w:val="24"/>
          <w:sz w:val="24"/>
          <w:szCs w:val="24"/>
        </w:rPr>
        <w:t>40% of property owners default on their payment plans.</w:t>
      </w:r>
      <w:r w:rsidR="00D4570A">
        <w:rPr>
          <w:rFonts w:ascii="Times New Roman" w:eastAsiaTheme="minorEastAsia" w:hAnsi="Times New Roman" w:cs="Times New Roman"/>
          <w:kern w:val="24"/>
          <w:sz w:val="24"/>
          <w:szCs w:val="24"/>
        </w:rPr>
        <w:t xml:space="preserve"> Business tax owners also have difficulties satisfying the criteria </w:t>
      </w:r>
      <w:r w:rsidR="00A22B09">
        <w:rPr>
          <w:rFonts w:ascii="Times New Roman" w:eastAsiaTheme="minorEastAsia" w:hAnsi="Times New Roman" w:cs="Times New Roman"/>
          <w:kern w:val="24"/>
          <w:sz w:val="24"/>
          <w:szCs w:val="24"/>
        </w:rPr>
        <w:t xml:space="preserve">required </w:t>
      </w:r>
      <w:r w:rsidR="00CE185F">
        <w:rPr>
          <w:rFonts w:ascii="Times New Roman" w:eastAsiaTheme="minorEastAsia" w:hAnsi="Times New Roman" w:cs="Times New Roman"/>
          <w:kern w:val="24"/>
          <w:sz w:val="24"/>
          <w:szCs w:val="24"/>
        </w:rPr>
        <w:t xml:space="preserve">to satisfy </w:t>
      </w:r>
      <w:r w:rsidR="00D4570A">
        <w:rPr>
          <w:rFonts w:ascii="Times New Roman" w:eastAsiaTheme="minorEastAsia" w:hAnsi="Times New Roman" w:cs="Times New Roman"/>
          <w:kern w:val="24"/>
          <w:sz w:val="24"/>
          <w:szCs w:val="24"/>
        </w:rPr>
        <w:t>City business tax debt.</w:t>
      </w:r>
    </w:p>
    <w:p w:rsidR="00B73602" w:rsidRDefault="00B73602" w:rsidP="00B73602">
      <w:pPr>
        <w:spacing w:after="0"/>
        <w:rPr>
          <w:rFonts w:ascii="Times New Roman" w:eastAsiaTheme="minorEastAsia" w:hAnsi="Times New Roman" w:cs="Times New Roman"/>
          <w:kern w:val="24"/>
          <w:sz w:val="24"/>
          <w:szCs w:val="24"/>
        </w:rPr>
      </w:pPr>
    </w:p>
    <w:p w:rsidR="00D4570A" w:rsidRPr="00D4570A" w:rsidRDefault="00D4570A" w:rsidP="00D4570A">
      <w:pPr>
        <w:keepNext/>
        <w:spacing w:after="0"/>
        <w:rPr>
          <w:rFonts w:ascii="Times New Roman" w:eastAsiaTheme="minorEastAsia" w:hAnsi="Times New Roman" w:cs="Times New Roman"/>
          <w:kern w:val="24"/>
          <w:sz w:val="24"/>
          <w:szCs w:val="24"/>
          <w:u w:val="single"/>
        </w:rPr>
      </w:pPr>
      <w:r>
        <w:rPr>
          <w:rFonts w:ascii="Times New Roman" w:eastAsiaTheme="minorEastAsia" w:hAnsi="Times New Roman" w:cs="Times New Roman"/>
          <w:kern w:val="24"/>
          <w:sz w:val="24"/>
          <w:szCs w:val="24"/>
          <w:u w:val="single"/>
        </w:rPr>
        <w:lastRenderedPageBreak/>
        <w:t>Recommendation</w:t>
      </w:r>
      <w:r w:rsidR="00A22B09">
        <w:rPr>
          <w:rFonts w:ascii="Times New Roman" w:eastAsiaTheme="minorEastAsia" w:hAnsi="Times New Roman" w:cs="Times New Roman"/>
          <w:kern w:val="24"/>
          <w:sz w:val="24"/>
          <w:szCs w:val="24"/>
          <w:u w:val="single"/>
        </w:rPr>
        <w:t>s</w:t>
      </w:r>
      <w:r>
        <w:rPr>
          <w:rFonts w:ascii="Times New Roman" w:eastAsiaTheme="minorEastAsia" w:hAnsi="Times New Roman" w:cs="Times New Roman"/>
          <w:kern w:val="24"/>
          <w:sz w:val="24"/>
          <w:szCs w:val="24"/>
          <w:u w:val="single"/>
        </w:rPr>
        <w:t>:</w:t>
      </w:r>
    </w:p>
    <w:p w:rsidR="00D4570A" w:rsidRDefault="00D4570A" w:rsidP="00D4570A">
      <w:pPr>
        <w:keepNext/>
        <w:spacing w:after="0"/>
        <w:rPr>
          <w:rFonts w:ascii="Times New Roman" w:eastAsiaTheme="minorEastAsia" w:hAnsi="Times New Roman" w:cs="Times New Roman"/>
          <w:kern w:val="24"/>
          <w:sz w:val="24"/>
          <w:szCs w:val="24"/>
        </w:rPr>
      </w:pPr>
    </w:p>
    <w:p w:rsidR="00B73602" w:rsidRPr="00FB16A0" w:rsidRDefault="00B73602" w:rsidP="00B73602">
      <w:pPr>
        <w:spacing w:after="0"/>
        <w:rPr>
          <w:rFonts w:ascii="Times New Roman" w:eastAsiaTheme="minorEastAsia" w:hAnsi="Times New Roman" w:cs="Times New Roman"/>
          <w:kern w:val="24"/>
          <w:sz w:val="24"/>
          <w:szCs w:val="24"/>
        </w:rPr>
      </w:pPr>
      <w:r w:rsidRPr="00FB16A0">
        <w:rPr>
          <w:rFonts w:ascii="Times New Roman" w:eastAsiaTheme="minorEastAsia" w:hAnsi="Times New Roman" w:cs="Times New Roman"/>
          <w:kern w:val="24"/>
          <w:sz w:val="24"/>
          <w:szCs w:val="24"/>
        </w:rPr>
        <w:t>DOF</w:t>
      </w:r>
      <w:r w:rsidR="00CE185F">
        <w:rPr>
          <w:rFonts w:ascii="Times New Roman" w:eastAsiaTheme="minorEastAsia" w:hAnsi="Times New Roman" w:cs="Times New Roman"/>
          <w:kern w:val="24"/>
          <w:sz w:val="24"/>
          <w:szCs w:val="24"/>
        </w:rPr>
        <w:t xml:space="preserve"> is developing</w:t>
      </w:r>
      <w:r w:rsidRPr="00FB16A0">
        <w:rPr>
          <w:rFonts w:ascii="Times New Roman" w:eastAsiaTheme="minorEastAsia" w:hAnsi="Times New Roman" w:cs="Times New Roman"/>
          <w:kern w:val="24"/>
          <w:sz w:val="24"/>
          <w:szCs w:val="24"/>
        </w:rPr>
        <w:t xml:space="preserve"> a property tax hardship payment plan program to </w:t>
      </w:r>
      <w:r>
        <w:rPr>
          <w:rFonts w:ascii="Times New Roman" w:eastAsiaTheme="minorEastAsia" w:hAnsi="Times New Roman" w:cs="Times New Roman"/>
          <w:kern w:val="24"/>
          <w:sz w:val="24"/>
          <w:szCs w:val="24"/>
        </w:rPr>
        <w:t>provide relief for</w:t>
      </w:r>
      <w:r w:rsidRPr="00FB16A0">
        <w:rPr>
          <w:rFonts w:ascii="Times New Roman" w:eastAsiaTheme="minorEastAsia" w:hAnsi="Times New Roman" w:cs="Times New Roman"/>
          <w:kern w:val="24"/>
          <w:sz w:val="24"/>
          <w:szCs w:val="24"/>
        </w:rPr>
        <w:t xml:space="preserve"> property taxpayers </w:t>
      </w:r>
      <w:r w:rsidR="00A22B09">
        <w:rPr>
          <w:rFonts w:ascii="Times New Roman" w:eastAsiaTheme="minorEastAsia" w:hAnsi="Times New Roman" w:cs="Times New Roman"/>
          <w:kern w:val="24"/>
          <w:sz w:val="24"/>
          <w:szCs w:val="24"/>
        </w:rPr>
        <w:t>who are</w:t>
      </w:r>
      <w:r w:rsidRPr="00FB16A0">
        <w:rPr>
          <w:rFonts w:ascii="Times New Roman" w:eastAsiaTheme="minorEastAsia" w:hAnsi="Times New Roman" w:cs="Times New Roman"/>
          <w:kern w:val="24"/>
          <w:sz w:val="24"/>
          <w:szCs w:val="24"/>
        </w:rPr>
        <w:t xml:space="preserve"> are unable to make payments, and for whom DOF’s standard </w:t>
      </w:r>
      <w:r>
        <w:rPr>
          <w:rFonts w:ascii="Times New Roman" w:eastAsiaTheme="minorEastAsia" w:hAnsi="Times New Roman" w:cs="Times New Roman"/>
          <w:kern w:val="24"/>
          <w:sz w:val="24"/>
          <w:szCs w:val="24"/>
        </w:rPr>
        <w:t>installment payment plan</w:t>
      </w:r>
      <w:r w:rsidRPr="00FB16A0">
        <w:rPr>
          <w:rFonts w:ascii="Times New Roman" w:eastAsiaTheme="minorEastAsia" w:hAnsi="Times New Roman" w:cs="Times New Roman"/>
          <w:kern w:val="24"/>
          <w:sz w:val="24"/>
          <w:szCs w:val="24"/>
        </w:rPr>
        <w:t xml:space="preserve"> would lead to default. The program w</w:t>
      </w:r>
      <w:r w:rsidR="00CE185F">
        <w:rPr>
          <w:rFonts w:ascii="Times New Roman" w:eastAsiaTheme="minorEastAsia" w:hAnsi="Times New Roman" w:cs="Times New Roman"/>
          <w:kern w:val="24"/>
          <w:sz w:val="24"/>
          <w:szCs w:val="24"/>
        </w:rPr>
        <w:t>ill</w:t>
      </w:r>
      <w:r w:rsidRPr="00FB16A0">
        <w:rPr>
          <w:rFonts w:ascii="Times New Roman" w:eastAsiaTheme="minorEastAsia" w:hAnsi="Times New Roman" w:cs="Times New Roman"/>
          <w:kern w:val="24"/>
          <w:sz w:val="24"/>
          <w:szCs w:val="24"/>
        </w:rPr>
        <w:t xml:space="preserve"> </w:t>
      </w:r>
      <w:r w:rsidR="0044638A">
        <w:rPr>
          <w:rFonts w:ascii="Times New Roman" w:eastAsiaTheme="minorEastAsia" w:hAnsi="Times New Roman" w:cs="Times New Roman"/>
          <w:kern w:val="24"/>
          <w:sz w:val="24"/>
          <w:szCs w:val="24"/>
        </w:rPr>
        <w:t>provide relief to</w:t>
      </w:r>
      <w:r w:rsidR="00CE185F">
        <w:rPr>
          <w:rFonts w:ascii="Times New Roman" w:eastAsiaTheme="minorEastAsia" w:hAnsi="Times New Roman" w:cs="Times New Roman"/>
          <w:kern w:val="24"/>
          <w:sz w:val="24"/>
          <w:szCs w:val="24"/>
        </w:rPr>
        <w:t xml:space="preserve"> seniors,</w:t>
      </w:r>
      <w:r w:rsidR="0044638A">
        <w:rPr>
          <w:rFonts w:ascii="Times New Roman" w:eastAsiaTheme="minorEastAsia" w:hAnsi="Times New Roman" w:cs="Times New Roman"/>
          <w:kern w:val="24"/>
          <w:sz w:val="24"/>
          <w:szCs w:val="24"/>
        </w:rPr>
        <w:t xml:space="preserve"> low and fixed- income </w:t>
      </w:r>
      <w:r w:rsidRPr="00FB16A0">
        <w:rPr>
          <w:rFonts w:ascii="Times New Roman" w:eastAsiaTheme="minorEastAsia" w:hAnsi="Times New Roman" w:cs="Times New Roman"/>
          <w:kern w:val="24"/>
          <w:sz w:val="24"/>
          <w:szCs w:val="24"/>
        </w:rPr>
        <w:t>taxpayer</w:t>
      </w:r>
      <w:r w:rsidR="0044638A">
        <w:rPr>
          <w:rFonts w:ascii="Times New Roman" w:eastAsiaTheme="minorEastAsia" w:hAnsi="Times New Roman" w:cs="Times New Roman"/>
          <w:kern w:val="24"/>
          <w:sz w:val="24"/>
          <w:szCs w:val="24"/>
        </w:rPr>
        <w:t xml:space="preserve">s, and those </w:t>
      </w:r>
      <w:r w:rsidR="00CE185F">
        <w:rPr>
          <w:rFonts w:ascii="Times New Roman" w:eastAsiaTheme="minorEastAsia" w:hAnsi="Times New Roman" w:cs="Times New Roman"/>
          <w:kern w:val="24"/>
          <w:sz w:val="24"/>
          <w:szCs w:val="24"/>
        </w:rPr>
        <w:t xml:space="preserve">with </w:t>
      </w:r>
      <w:r w:rsidRPr="00FB16A0">
        <w:rPr>
          <w:rFonts w:ascii="Times New Roman" w:eastAsiaTheme="minorEastAsia" w:hAnsi="Times New Roman" w:cs="Times New Roman"/>
          <w:kern w:val="24"/>
          <w:sz w:val="24"/>
          <w:szCs w:val="24"/>
        </w:rPr>
        <w:t>extenuating circumstances</w:t>
      </w:r>
      <w:r w:rsidR="00CE185F">
        <w:rPr>
          <w:rFonts w:ascii="Times New Roman" w:eastAsiaTheme="minorEastAsia" w:hAnsi="Times New Roman" w:cs="Times New Roman"/>
          <w:kern w:val="24"/>
          <w:sz w:val="24"/>
          <w:szCs w:val="24"/>
        </w:rPr>
        <w:t>.  OTA is</w:t>
      </w:r>
      <w:r>
        <w:rPr>
          <w:rFonts w:ascii="Times New Roman" w:eastAsiaTheme="minorEastAsia" w:hAnsi="Times New Roman" w:cs="Times New Roman"/>
          <w:kern w:val="24"/>
          <w:sz w:val="24"/>
          <w:szCs w:val="24"/>
        </w:rPr>
        <w:t xml:space="preserve"> </w:t>
      </w:r>
      <w:r w:rsidRPr="00FB16A0">
        <w:rPr>
          <w:rFonts w:ascii="Times New Roman" w:eastAsiaTheme="minorEastAsia" w:hAnsi="Times New Roman" w:cs="Times New Roman"/>
          <w:kern w:val="24"/>
          <w:sz w:val="24"/>
          <w:szCs w:val="24"/>
        </w:rPr>
        <w:t>in the preliminary stages of researching a similar program for small business owners.</w:t>
      </w:r>
    </w:p>
    <w:p w:rsidR="00B73602" w:rsidRDefault="00B73602" w:rsidP="00B73602">
      <w:pPr>
        <w:spacing w:after="0"/>
        <w:rPr>
          <w:rFonts w:ascii="Times New Roman" w:eastAsiaTheme="minorEastAsia" w:hAnsi="Times New Roman" w:cs="Times New Roman"/>
          <w:kern w:val="24"/>
          <w:sz w:val="24"/>
          <w:szCs w:val="24"/>
        </w:rPr>
      </w:pPr>
    </w:p>
    <w:p w:rsidR="00B73602" w:rsidRPr="00FB16A0" w:rsidRDefault="00E71411" w:rsidP="00B73602">
      <w:pPr>
        <w:keepNext/>
        <w:spacing w:after="0"/>
        <w:rPr>
          <w:rFonts w:ascii="Times New Roman" w:eastAsiaTheme="minorEastAsia" w:hAnsi="Times New Roman" w:cs="Times New Roman"/>
          <w:b/>
          <w:i/>
          <w:kern w:val="24"/>
          <w:sz w:val="24"/>
          <w:szCs w:val="24"/>
        </w:rPr>
      </w:pPr>
      <w:r>
        <w:rPr>
          <w:rFonts w:ascii="Times New Roman" w:eastAsiaTheme="minorEastAsia" w:hAnsi="Times New Roman" w:cs="Times New Roman"/>
          <w:b/>
          <w:i/>
          <w:kern w:val="24"/>
          <w:sz w:val="24"/>
          <w:szCs w:val="24"/>
        </w:rPr>
        <w:t>Prominence of P</w:t>
      </w:r>
      <w:r w:rsidR="00CE185F">
        <w:rPr>
          <w:rFonts w:ascii="Times New Roman" w:eastAsiaTheme="minorEastAsia" w:hAnsi="Times New Roman" w:cs="Times New Roman"/>
          <w:b/>
          <w:i/>
          <w:kern w:val="24"/>
          <w:sz w:val="24"/>
          <w:szCs w:val="24"/>
        </w:rPr>
        <w:t xml:space="preserve">ayment Instructions on Tax </w:t>
      </w:r>
      <w:r>
        <w:rPr>
          <w:rFonts w:ascii="Times New Roman" w:eastAsiaTheme="minorEastAsia" w:hAnsi="Times New Roman" w:cs="Times New Roman"/>
          <w:b/>
          <w:i/>
          <w:kern w:val="24"/>
          <w:sz w:val="24"/>
          <w:szCs w:val="24"/>
        </w:rPr>
        <w:t>Bills</w:t>
      </w:r>
    </w:p>
    <w:p w:rsidR="00B73602" w:rsidRPr="00FB16A0" w:rsidRDefault="00B73602" w:rsidP="00B73602">
      <w:pPr>
        <w:keepNext/>
        <w:spacing w:after="0"/>
        <w:rPr>
          <w:rFonts w:ascii="Times New Roman" w:eastAsiaTheme="minorEastAsia" w:hAnsi="Times New Roman" w:cs="Times New Roman"/>
          <w:kern w:val="24"/>
          <w:sz w:val="24"/>
          <w:szCs w:val="24"/>
        </w:rPr>
      </w:pPr>
    </w:p>
    <w:p w:rsidR="00BF5645" w:rsidRDefault="00E71411" w:rsidP="00BF5645">
      <w:pPr>
        <w:spacing w:after="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 xml:space="preserve">DOF </w:t>
      </w:r>
      <w:r w:rsidR="00A22B09">
        <w:rPr>
          <w:rFonts w:ascii="Times New Roman" w:eastAsiaTheme="minorEastAsia" w:hAnsi="Times New Roman" w:cs="Times New Roman"/>
          <w:kern w:val="24"/>
          <w:sz w:val="24"/>
          <w:szCs w:val="24"/>
        </w:rPr>
        <w:t>has found that taxpayer error contributes to</w:t>
      </w:r>
      <w:r w:rsidR="0007101E">
        <w:rPr>
          <w:rFonts w:ascii="Times New Roman" w:eastAsiaTheme="minorEastAsia" w:hAnsi="Times New Roman" w:cs="Times New Roman"/>
          <w:kern w:val="24"/>
          <w:sz w:val="24"/>
          <w:szCs w:val="24"/>
        </w:rPr>
        <w:t xml:space="preserve"> </w:t>
      </w:r>
      <w:r>
        <w:rPr>
          <w:rFonts w:ascii="Times New Roman" w:eastAsiaTheme="minorEastAsia" w:hAnsi="Times New Roman" w:cs="Times New Roman"/>
          <w:kern w:val="24"/>
          <w:sz w:val="24"/>
          <w:szCs w:val="24"/>
        </w:rPr>
        <w:t>some payment</w:t>
      </w:r>
      <w:r w:rsidR="0007101E">
        <w:rPr>
          <w:rFonts w:ascii="Times New Roman" w:eastAsiaTheme="minorEastAsia" w:hAnsi="Times New Roman" w:cs="Times New Roman"/>
          <w:kern w:val="24"/>
          <w:sz w:val="24"/>
          <w:szCs w:val="24"/>
        </w:rPr>
        <w:t xml:space="preserve"> misapplications. Taxp</w:t>
      </w:r>
      <w:r w:rsidR="00CE185F">
        <w:rPr>
          <w:rFonts w:ascii="Times New Roman" w:eastAsiaTheme="minorEastAsia" w:hAnsi="Times New Roman" w:cs="Times New Roman"/>
          <w:kern w:val="24"/>
          <w:sz w:val="24"/>
          <w:szCs w:val="24"/>
        </w:rPr>
        <w:t xml:space="preserve">ayer error may be due </w:t>
      </w:r>
      <w:r w:rsidR="0007101E">
        <w:rPr>
          <w:rFonts w:ascii="Times New Roman" w:eastAsiaTheme="minorEastAsia" w:hAnsi="Times New Roman" w:cs="Times New Roman"/>
          <w:kern w:val="24"/>
          <w:sz w:val="24"/>
          <w:szCs w:val="24"/>
        </w:rPr>
        <w:t>to taxpayers not submitting payments per DOF procedure</w:t>
      </w:r>
      <w:r w:rsidR="00CE185F">
        <w:rPr>
          <w:rFonts w:ascii="Times New Roman" w:eastAsiaTheme="minorEastAsia" w:hAnsi="Times New Roman" w:cs="Times New Roman"/>
          <w:kern w:val="24"/>
          <w:sz w:val="24"/>
          <w:szCs w:val="24"/>
        </w:rPr>
        <w:t>s</w:t>
      </w:r>
      <w:r w:rsidR="0007101E">
        <w:rPr>
          <w:rFonts w:ascii="Times New Roman" w:eastAsiaTheme="minorEastAsia" w:hAnsi="Times New Roman" w:cs="Times New Roman"/>
          <w:kern w:val="24"/>
          <w:sz w:val="24"/>
          <w:szCs w:val="24"/>
        </w:rPr>
        <w:t>. Instructions on property tax bill</w:t>
      </w:r>
      <w:r w:rsidR="00A22B09">
        <w:rPr>
          <w:rFonts w:ascii="Times New Roman" w:eastAsiaTheme="minorEastAsia" w:hAnsi="Times New Roman" w:cs="Times New Roman"/>
          <w:kern w:val="24"/>
          <w:sz w:val="24"/>
          <w:szCs w:val="24"/>
        </w:rPr>
        <w:t>s</w:t>
      </w:r>
      <w:r>
        <w:rPr>
          <w:rFonts w:ascii="Times New Roman" w:eastAsiaTheme="minorEastAsia" w:hAnsi="Times New Roman" w:cs="Times New Roman"/>
          <w:kern w:val="24"/>
          <w:sz w:val="24"/>
          <w:szCs w:val="24"/>
        </w:rPr>
        <w:t xml:space="preserve">, for instance, </w:t>
      </w:r>
      <w:r w:rsidR="0007101E">
        <w:rPr>
          <w:rFonts w:ascii="Times New Roman" w:eastAsiaTheme="minorEastAsia" w:hAnsi="Times New Roman" w:cs="Times New Roman"/>
          <w:kern w:val="24"/>
          <w:sz w:val="24"/>
          <w:szCs w:val="24"/>
        </w:rPr>
        <w:t xml:space="preserve">say in </w:t>
      </w:r>
      <w:r>
        <w:rPr>
          <w:rFonts w:ascii="Times New Roman" w:eastAsiaTheme="minorEastAsia" w:hAnsi="Times New Roman" w:cs="Times New Roman"/>
          <w:kern w:val="24"/>
          <w:sz w:val="24"/>
          <w:szCs w:val="24"/>
        </w:rPr>
        <w:t xml:space="preserve">easily overlooked </w:t>
      </w:r>
      <w:r w:rsidR="0007101E">
        <w:rPr>
          <w:rFonts w:ascii="Times New Roman" w:eastAsiaTheme="minorEastAsia" w:hAnsi="Times New Roman" w:cs="Times New Roman"/>
          <w:kern w:val="24"/>
          <w:sz w:val="24"/>
          <w:szCs w:val="24"/>
        </w:rPr>
        <w:t xml:space="preserve">small print to include the </w:t>
      </w:r>
      <w:r w:rsidR="00BF5645">
        <w:rPr>
          <w:rFonts w:ascii="Times New Roman" w:eastAsiaTheme="minorEastAsia" w:hAnsi="Times New Roman" w:cs="Times New Roman"/>
          <w:kern w:val="24"/>
          <w:sz w:val="24"/>
          <w:szCs w:val="24"/>
        </w:rPr>
        <w:t>payment voucher</w:t>
      </w:r>
      <w:r w:rsidR="0007101E">
        <w:rPr>
          <w:rFonts w:ascii="Times New Roman" w:eastAsiaTheme="minorEastAsia" w:hAnsi="Times New Roman" w:cs="Times New Roman"/>
          <w:kern w:val="24"/>
          <w:sz w:val="24"/>
          <w:szCs w:val="24"/>
        </w:rPr>
        <w:t xml:space="preserve"> </w:t>
      </w:r>
      <w:r w:rsidR="00BF5645">
        <w:rPr>
          <w:rFonts w:ascii="Times New Roman" w:eastAsiaTheme="minorEastAsia" w:hAnsi="Times New Roman" w:cs="Times New Roman"/>
          <w:kern w:val="24"/>
          <w:sz w:val="24"/>
          <w:szCs w:val="24"/>
        </w:rPr>
        <w:t xml:space="preserve">“if you pay </w:t>
      </w:r>
      <w:r w:rsidR="0007101E">
        <w:rPr>
          <w:rFonts w:ascii="Times New Roman" w:eastAsiaTheme="minorEastAsia" w:hAnsi="Times New Roman" w:cs="Times New Roman"/>
          <w:kern w:val="24"/>
          <w:sz w:val="24"/>
          <w:szCs w:val="24"/>
        </w:rPr>
        <w:t xml:space="preserve">by mail or in person.” Missing such an instruction can lead to a check being misrouted. </w:t>
      </w:r>
    </w:p>
    <w:p w:rsidR="00255F29" w:rsidRDefault="00255F29" w:rsidP="00B73602">
      <w:pPr>
        <w:spacing w:after="0"/>
        <w:rPr>
          <w:rFonts w:ascii="Times New Roman" w:eastAsiaTheme="minorEastAsia" w:hAnsi="Times New Roman" w:cs="Times New Roman"/>
          <w:kern w:val="24"/>
          <w:sz w:val="24"/>
          <w:szCs w:val="24"/>
        </w:rPr>
      </w:pPr>
    </w:p>
    <w:p w:rsidR="0007101E" w:rsidRDefault="0007101E" w:rsidP="00585E7D">
      <w:pPr>
        <w:keepNext/>
        <w:spacing w:after="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u w:val="single"/>
        </w:rPr>
        <w:t>Recommendation</w:t>
      </w:r>
      <w:r w:rsidR="00A22B09">
        <w:rPr>
          <w:rFonts w:ascii="Times New Roman" w:eastAsiaTheme="minorEastAsia" w:hAnsi="Times New Roman" w:cs="Times New Roman"/>
          <w:kern w:val="24"/>
          <w:sz w:val="24"/>
          <w:szCs w:val="24"/>
          <w:u w:val="single"/>
        </w:rPr>
        <w:t>s</w:t>
      </w:r>
      <w:r>
        <w:rPr>
          <w:rFonts w:ascii="Times New Roman" w:eastAsiaTheme="minorEastAsia" w:hAnsi="Times New Roman" w:cs="Times New Roman"/>
          <w:kern w:val="24"/>
          <w:sz w:val="24"/>
          <w:szCs w:val="24"/>
          <w:u w:val="single"/>
        </w:rPr>
        <w:t>:</w:t>
      </w:r>
    </w:p>
    <w:p w:rsidR="0007101E" w:rsidRDefault="0007101E" w:rsidP="00585E7D">
      <w:pPr>
        <w:keepNext/>
        <w:spacing w:after="0"/>
        <w:rPr>
          <w:rFonts w:ascii="Times New Roman" w:eastAsiaTheme="minorEastAsia" w:hAnsi="Times New Roman" w:cs="Times New Roman"/>
          <w:kern w:val="24"/>
          <w:sz w:val="24"/>
          <w:szCs w:val="24"/>
        </w:rPr>
      </w:pPr>
    </w:p>
    <w:p w:rsidR="00B73602" w:rsidRDefault="0007101E" w:rsidP="00B73602">
      <w:pPr>
        <w:spacing w:after="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 xml:space="preserve">Taxpayers need to be provided with a </w:t>
      </w:r>
      <w:r w:rsidR="00B73602">
        <w:rPr>
          <w:rFonts w:ascii="Times New Roman" w:eastAsiaTheme="minorEastAsia" w:hAnsi="Times New Roman" w:cs="Times New Roman"/>
          <w:kern w:val="24"/>
          <w:sz w:val="24"/>
          <w:szCs w:val="24"/>
        </w:rPr>
        <w:t xml:space="preserve">prominent written explanation of how </w:t>
      </w:r>
      <w:r>
        <w:rPr>
          <w:rFonts w:ascii="Times New Roman" w:eastAsiaTheme="minorEastAsia" w:hAnsi="Times New Roman" w:cs="Times New Roman"/>
          <w:kern w:val="24"/>
          <w:sz w:val="24"/>
          <w:szCs w:val="24"/>
        </w:rPr>
        <w:t>to</w:t>
      </w:r>
      <w:r w:rsidR="00B73602">
        <w:rPr>
          <w:rFonts w:ascii="Times New Roman" w:eastAsiaTheme="minorEastAsia" w:hAnsi="Times New Roman" w:cs="Times New Roman"/>
          <w:kern w:val="24"/>
          <w:sz w:val="24"/>
          <w:szCs w:val="24"/>
        </w:rPr>
        <w:t xml:space="preserve"> submit payments to ensure they are processed and applied correctly</w:t>
      </w:r>
      <w:r w:rsidR="00CE185F">
        <w:rPr>
          <w:rFonts w:ascii="Times New Roman" w:eastAsiaTheme="minorEastAsia" w:hAnsi="Times New Roman" w:cs="Times New Roman"/>
          <w:kern w:val="24"/>
          <w:sz w:val="24"/>
          <w:szCs w:val="24"/>
        </w:rPr>
        <w:t>.  P</w:t>
      </w:r>
      <w:r>
        <w:rPr>
          <w:rFonts w:ascii="Times New Roman" w:eastAsiaTheme="minorEastAsia" w:hAnsi="Times New Roman" w:cs="Times New Roman"/>
          <w:kern w:val="24"/>
          <w:sz w:val="24"/>
          <w:szCs w:val="24"/>
        </w:rPr>
        <w:t>roperty tax bill</w:t>
      </w:r>
      <w:r w:rsidR="00CE185F">
        <w:rPr>
          <w:rFonts w:ascii="Times New Roman" w:eastAsiaTheme="minorEastAsia" w:hAnsi="Times New Roman" w:cs="Times New Roman"/>
          <w:kern w:val="24"/>
          <w:sz w:val="24"/>
          <w:szCs w:val="24"/>
        </w:rPr>
        <w:t>s should highlight</w:t>
      </w:r>
      <w:r w:rsidR="00BF5645">
        <w:rPr>
          <w:rFonts w:ascii="Times New Roman" w:eastAsiaTheme="minorEastAsia" w:hAnsi="Times New Roman" w:cs="Times New Roman"/>
          <w:kern w:val="24"/>
          <w:sz w:val="24"/>
          <w:szCs w:val="24"/>
        </w:rPr>
        <w:t xml:space="preserve"> “Include the BBL or taxpayer ID</w:t>
      </w:r>
      <w:r w:rsidR="00B73602">
        <w:rPr>
          <w:rFonts w:ascii="Times New Roman" w:eastAsiaTheme="minorEastAsia" w:hAnsi="Times New Roman" w:cs="Times New Roman"/>
          <w:kern w:val="24"/>
          <w:sz w:val="24"/>
          <w:szCs w:val="24"/>
        </w:rPr>
        <w:t xml:space="preserve"> or your payment may not be p</w:t>
      </w:r>
      <w:r w:rsidR="00BF5645">
        <w:rPr>
          <w:rFonts w:ascii="Times New Roman" w:eastAsiaTheme="minorEastAsia" w:hAnsi="Times New Roman" w:cs="Times New Roman"/>
          <w:kern w:val="24"/>
          <w:sz w:val="24"/>
          <w:szCs w:val="24"/>
        </w:rPr>
        <w:t>rocessed correctly” in boldface</w:t>
      </w:r>
      <w:r w:rsidR="00B73602">
        <w:rPr>
          <w:rFonts w:ascii="Times New Roman" w:eastAsiaTheme="minorEastAsia" w:hAnsi="Times New Roman" w:cs="Times New Roman"/>
          <w:kern w:val="24"/>
          <w:sz w:val="24"/>
          <w:szCs w:val="24"/>
        </w:rPr>
        <w:t xml:space="preserve"> </w:t>
      </w:r>
      <w:r w:rsidR="00CE185F">
        <w:rPr>
          <w:rFonts w:ascii="Times New Roman" w:eastAsiaTheme="minorEastAsia" w:hAnsi="Times New Roman" w:cs="Times New Roman"/>
          <w:kern w:val="24"/>
          <w:sz w:val="24"/>
          <w:szCs w:val="24"/>
        </w:rPr>
        <w:t xml:space="preserve">type. </w:t>
      </w:r>
    </w:p>
    <w:p w:rsidR="00CE185F" w:rsidRPr="00FB16A0" w:rsidRDefault="00CE185F" w:rsidP="00B73602">
      <w:pPr>
        <w:spacing w:after="0"/>
        <w:rPr>
          <w:rFonts w:ascii="Times New Roman" w:eastAsiaTheme="minorEastAsia" w:hAnsi="Times New Roman" w:cs="Times New Roman"/>
          <w:kern w:val="24"/>
          <w:sz w:val="24"/>
          <w:szCs w:val="24"/>
        </w:rPr>
      </w:pPr>
    </w:p>
    <w:p w:rsidR="00B73602" w:rsidRPr="00FB16A0" w:rsidRDefault="00B73602" w:rsidP="00B73602">
      <w:pPr>
        <w:keepNext/>
        <w:spacing w:after="0"/>
        <w:rPr>
          <w:rFonts w:ascii="Times New Roman" w:eastAsiaTheme="minorEastAsia" w:hAnsi="Times New Roman" w:cs="Times New Roman"/>
          <w:b/>
          <w:i/>
          <w:kern w:val="24"/>
          <w:sz w:val="24"/>
          <w:szCs w:val="24"/>
        </w:rPr>
      </w:pPr>
      <w:r w:rsidRPr="00FB16A0">
        <w:rPr>
          <w:rFonts w:ascii="Times New Roman" w:eastAsiaTheme="minorEastAsia" w:hAnsi="Times New Roman" w:cs="Times New Roman"/>
          <w:b/>
          <w:i/>
          <w:kern w:val="24"/>
          <w:sz w:val="24"/>
          <w:szCs w:val="24"/>
        </w:rPr>
        <w:t xml:space="preserve">General </w:t>
      </w:r>
      <w:r>
        <w:rPr>
          <w:rFonts w:ascii="Times New Roman" w:eastAsiaTheme="minorEastAsia" w:hAnsi="Times New Roman" w:cs="Times New Roman"/>
          <w:b/>
          <w:i/>
          <w:kern w:val="24"/>
          <w:sz w:val="24"/>
          <w:szCs w:val="24"/>
        </w:rPr>
        <w:t>Comment</w:t>
      </w:r>
      <w:r w:rsidRPr="00FB16A0">
        <w:rPr>
          <w:rFonts w:ascii="Times New Roman" w:eastAsiaTheme="minorEastAsia" w:hAnsi="Times New Roman" w:cs="Times New Roman"/>
          <w:b/>
          <w:i/>
          <w:kern w:val="24"/>
          <w:sz w:val="24"/>
          <w:szCs w:val="24"/>
        </w:rPr>
        <w:t xml:space="preserve"> Forums</w:t>
      </w:r>
      <w:r>
        <w:rPr>
          <w:rFonts w:ascii="Times New Roman" w:eastAsiaTheme="minorEastAsia" w:hAnsi="Times New Roman" w:cs="Times New Roman"/>
          <w:b/>
          <w:i/>
          <w:kern w:val="24"/>
          <w:sz w:val="24"/>
          <w:szCs w:val="24"/>
        </w:rPr>
        <w:t xml:space="preserve"> and Customer Surveys.</w:t>
      </w:r>
    </w:p>
    <w:p w:rsidR="00B73602" w:rsidRPr="00FB16A0" w:rsidRDefault="00B73602" w:rsidP="00B73602">
      <w:pPr>
        <w:keepNext/>
        <w:spacing w:after="0"/>
        <w:rPr>
          <w:rFonts w:ascii="Times New Roman" w:eastAsiaTheme="minorEastAsia" w:hAnsi="Times New Roman" w:cs="Times New Roman"/>
          <w:b/>
          <w:i/>
          <w:kern w:val="24"/>
          <w:sz w:val="24"/>
          <w:szCs w:val="24"/>
        </w:rPr>
      </w:pPr>
    </w:p>
    <w:p w:rsidR="00BF5645" w:rsidRDefault="00CE185F" w:rsidP="007A423A">
      <w:pPr>
        <w:spacing w:after="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 xml:space="preserve">DOF should create a </w:t>
      </w:r>
      <w:r w:rsidR="00F34375">
        <w:rPr>
          <w:rFonts w:ascii="Times New Roman" w:eastAsiaTheme="minorEastAsia" w:hAnsi="Times New Roman" w:cs="Times New Roman"/>
          <w:kern w:val="24"/>
          <w:sz w:val="24"/>
          <w:szCs w:val="24"/>
        </w:rPr>
        <w:t>form for</w:t>
      </w:r>
      <w:r>
        <w:rPr>
          <w:rFonts w:ascii="Times New Roman" w:eastAsiaTheme="minorEastAsia" w:hAnsi="Times New Roman" w:cs="Times New Roman"/>
          <w:kern w:val="24"/>
          <w:sz w:val="24"/>
          <w:szCs w:val="24"/>
        </w:rPr>
        <w:t xml:space="preserve"> taxpayers to communicate </w:t>
      </w:r>
      <w:r w:rsidR="00F34375">
        <w:rPr>
          <w:rFonts w:ascii="Times New Roman" w:eastAsiaTheme="minorEastAsia" w:hAnsi="Times New Roman" w:cs="Times New Roman"/>
          <w:kern w:val="24"/>
          <w:sz w:val="24"/>
          <w:szCs w:val="24"/>
        </w:rPr>
        <w:t xml:space="preserve">directly </w:t>
      </w:r>
      <w:r>
        <w:rPr>
          <w:rFonts w:ascii="Times New Roman" w:eastAsiaTheme="minorEastAsia" w:hAnsi="Times New Roman" w:cs="Times New Roman"/>
          <w:kern w:val="24"/>
          <w:sz w:val="24"/>
          <w:szCs w:val="24"/>
        </w:rPr>
        <w:t>with DOF</w:t>
      </w:r>
      <w:r w:rsidR="00F34375">
        <w:rPr>
          <w:rFonts w:ascii="Times New Roman" w:eastAsiaTheme="minorEastAsia" w:hAnsi="Times New Roman" w:cs="Times New Roman"/>
          <w:kern w:val="24"/>
          <w:sz w:val="24"/>
          <w:szCs w:val="24"/>
        </w:rPr>
        <w:t xml:space="preserve"> regarding DOF </w:t>
      </w:r>
      <w:r w:rsidR="00A22B09">
        <w:rPr>
          <w:rFonts w:ascii="Times New Roman" w:eastAsiaTheme="minorEastAsia" w:hAnsi="Times New Roman" w:cs="Times New Roman"/>
          <w:kern w:val="24"/>
          <w:sz w:val="24"/>
          <w:szCs w:val="24"/>
        </w:rPr>
        <w:t>processes</w:t>
      </w:r>
      <w:r w:rsidR="00F34375">
        <w:rPr>
          <w:rFonts w:ascii="Times New Roman" w:eastAsiaTheme="minorEastAsia" w:hAnsi="Times New Roman" w:cs="Times New Roman"/>
          <w:kern w:val="24"/>
          <w:sz w:val="24"/>
          <w:szCs w:val="24"/>
        </w:rPr>
        <w:t xml:space="preserve"> and communications. </w:t>
      </w:r>
    </w:p>
    <w:p w:rsidR="00BF5645" w:rsidRDefault="00BF5645" w:rsidP="007A423A">
      <w:pPr>
        <w:spacing w:after="0"/>
        <w:rPr>
          <w:rFonts w:ascii="Times New Roman" w:eastAsiaTheme="minorEastAsia" w:hAnsi="Times New Roman" w:cs="Times New Roman"/>
          <w:kern w:val="24"/>
          <w:sz w:val="24"/>
          <w:szCs w:val="24"/>
        </w:rPr>
      </w:pPr>
    </w:p>
    <w:p w:rsidR="00BF5645" w:rsidRPr="00BF5645" w:rsidRDefault="00BF5645" w:rsidP="00BF5645">
      <w:pPr>
        <w:keepNext/>
        <w:spacing w:after="0"/>
        <w:rPr>
          <w:rFonts w:ascii="Times New Roman" w:eastAsiaTheme="minorEastAsia" w:hAnsi="Times New Roman" w:cs="Times New Roman"/>
          <w:kern w:val="24"/>
          <w:sz w:val="24"/>
          <w:szCs w:val="24"/>
          <w:u w:val="single"/>
        </w:rPr>
      </w:pPr>
      <w:r>
        <w:rPr>
          <w:rFonts w:ascii="Times New Roman" w:eastAsiaTheme="minorEastAsia" w:hAnsi="Times New Roman" w:cs="Times New Roman"/>
          <w:kern w:val="24"/>
          <w:sz w:val="24"/>
          <w:szCs w:val="24"/>
          <w:u w:val="single"/>
        </w:rPr>
        <w:t>Recommendation</w:t>
      </w:r>
      <w:r w:rsidR="00A22B09">
        <w:rPr>
          <w:rFonts w:ascii="Times New Roman" w:eastAsiaTheme="minorEastAsia" w:hAnsi="Times New Roman" w:cs="Times New Roman"/>
          <w:kern w:val="24"/>
          <w:sz w:val="24"/>
          <w:szCs w:val="24"/>
          <w:u w:val="single"/>
        </w:rPr>
        <w:t>s</w:t>
      </w:r>
      <w:r>
        <w:rPr>
          <w:rFonts w:ascii="Times New Roman" w:eastAsiaTheme="minorEastAsia" w:hAnsi="Times New Roman" w:cs="Times New Roman"/>
          <w:kern w:val="24"/>
          <w:sz w:val="24"/>
          <w:szCs w:val="24"/>
          <w:u w:val="single"/>
        </w:rPr>
        <w:t>:</w:t>
      </w:r>
    </w:p>
    <w:p w:rsidR="00BF5645" w:rsidRDefault="00BF5645" w:rsidP="00BF5645">
      <w:pPr>
        <w:keepNext/>
        <w:spacing w:after="0"/>
        <w:rPr>
          <w:rFonts w:ascii="Times New Roman" w:eastAsiaTheme="minorEastAsia" w:hAnsi="Times New Roman" w:cs="Times New Roman"/>
          <w:kern w:val="24"/>
          <w:sz w:val="24"/>
          <w:szCs w:val="24"/>
        </w:rPr>
      </w:pPr>
    </w:p>
    <w:p w:rsidR="00B73602" w:rsidRPr="007A423A" w:rsidRDefault="00B73602" w:rsidP="007A423A">
      <w:pPr>
        <w:spacing w:after="0"/>
        <w:rPr>
          <w:rFonts w:ascii="Times New Roman" w:eastAsiaTheme="minorEastAsia" w:hAnsi="Times New Roman" w:cs="Times New Roman"/>
          <w:kern w:val="24"/>
          <w:sz w:val="24"/>
          <w:szCs w:val="24"/>
        </w:rPr>
      </w:pPr>
      <w:r w:rsidRPr="00FB16A0">
        <w:rPr>
          <w:rFonts w:ascii="Times New Roman" w:eastAsiaTheme="minorEastAsia" w:hAnsi="Times New Roman" w:cs="Times New Roman"/>
          <w:kern w:val="24"/>
          <w:sz w:val="24"/>
          <w:szCs w:val="24"/>
        </w:rPr>
        <w:t>DOF</w:t>
      </w:r>
      <w:r>
        <w:rPr>
          <w:rFonts w:ascii="Times New Roman" w:eastAsiaTheme="minorEastAsia" w:hAnsi="Times New Roman" w:cs="Times New Roman"/>
          <w:kern w:val="24"/>
          <w:sz w:val="24"/>
          <w:szCs w:val="24"/>
        </w:rPr>
        <w:t xml:space="preserve"> has a project underway to capture customer feedback on agency processes</w:t>
      </w:r>
      <w:r w:rsidR="00F34375">
        <w:rPr>
          <w:rFonts w:ascii="Times New Roman" w:eastAsiaTheme="minorEastAsia" w:hAnsi="Times New Roman" w:cs="Times New Roman"/>
          <w:kern w:val="24"/>
          <w:sz w:val="24"/>
          <w:szCs w:val="24"/>
        </w:rPr>
        <w:t xml:space="preserve">.  Taxpayers can </w:t>
      </w:r>
      <w:r>
        <w:rPr>
          <w:rFonts w:ascii="Times New Roman" w:eastAsiaTheme="minorEastAsia" w:hAnsi="Times New Roman" w:cs="Times New Roman"/>
          <w:kern w:val="24"/>
          <w:sz w:val="24"/>
          <w:szCs w:val="24"/>
        </w:rPr>
        <w:t xml:space="preserve">share their experiences regarding response time and overall DOF </w:t>
      </w:r>
      <w:r w:rsidR="00F34375">
        <w:rPr>
          <w:rFonts w:ascii="Times New Roman" w:eastAsiaTheme="minorEastAsia" w:hAnsi="Times New Roman" w:cs="Times New Roman"/>
          <w:kern w:val="24"/>
          <w:sz w:val="24"/>
          <w:szCs w:val="24"/>
        </w:rPr>
        <w:t>customer service. C</w:t>
      </w:r>
      <w:r>
        <w:rPr>
          <w:rFonts w:ascii="Times New Roman" w:eastAsiaTheme="minorEastAsia" w:hAnsi="Times New Roman" w:cs="Times New Roman"/>
          <w:kern w:val="24"/>
          <w:sz w:val="24"/>
          <w:szCs w:val="24"/>
        </w:rPr>
        <w:t xml:space="preserve">apturing such information </w:t>
      </w:r>
      <w:r w:rsidR="00F34375">
        <w:rPr>
          <w:rFonts w:ascii="Times New Roman" w:eastAsiaTheme="minorEastAsia" w:hAnsi="Times New Roman" w:cs="Times New Roman"/>
          <w:kern w:val="24"/>
          <w:sz w:val="24"/>
          <w:szCs w:val="24"/>
        </w:rPr>
        <w:t xml:space="preserve">would identify </w:t>
      </w:r>
      <w:r w:rsidRPr="00FB16A0">
        <w:rPr>
          <w:rFonts w:ascii="Times New Roman" w:eastAsiaTheme="minorEastAsia" w:hAnsi="Times New Roman" w:cs="Times New Roman"/>
          <w:kern w:val="24"/>
          <w:sz w:val="24"/>
          <w:szCs w:val="24"/>
        </w:rPr>
        <w:t xml:space="preserve">systemic problems and </w:t>
      </w:r>
      <w:r w:rsidR="00F34375">
        <w:rPr>
          <w:rFonts w:ascii="Times New Roman" w:eastAsiaTheme="minorEastAsia" w:hAnsi="Times New Roman" w:cs="Times New Roman"/>
          <w:kern w:val="24"/>
          <w:sz w:val="24"/>
          <w:szCs w:val="24"/>
        </w:rPr>
        <w:t xml:space="preserve">enable DOF to deploy resources to improve performance. </w:t>
      </w:r>
    </w:p>
    <w:p w:rsidR="00B73602" w:rsidRDefault="00B73602" w:rsidP="00B73602">
      <w:pPr>
        <w:spacing w:after="0"/>
        <w:rPr>
          <w:rFonts w:ascii="Times New Roman" w:eastAsiaTheme="minorEastAsia" w:hAnsi="Times New Roman" w:cs="Times New Roman"/>
          <w:kern w:val="24"/>
          <w:sz w:val="24"/>
          <w:szCs w:val="24"/>
        </w:rPr>
      </w:pPr>
    </w:p>
    <w:p w:rsidR="00B73602" w:rsidRPr="008160F5" w:rsidRDefault="00B73602" w:rsidP="00585E7D">
      <w:pPr>
        <w:pStyle w:val="ListParagraph"/>
        <w:keepNext/>
        <w:numPr>
          <w:ilvl w:val="0"/>
          <w:numId w:val="18"/>
        </w:numPr>
        <w:rPr>
          <w:rFonts w:ascii="Times New Roman" w:hAnsi="Times New Roman" w:cs="Times New Roman"/>
          <w:b/>
          <w:sz w:val="24"/>
          <w:szCs w:val="24"/>
          <w:u w:val="single"/>
        </w:rPr>
      </w:pPr>
      <w:r>
        <w:rPr>
          <w:rFonts w:ascii="Times New Roman" w:hAnsi="Times New Roman" w:cs="Times New Roman"/>
          <w:b/>
          <w:sz w:val="28"/>
          <w:szCs w:val="28"/>
          <w:u w:val="single"/>
        </w:rPr>
        <w:lastRenderedPageBreak/>
        <w:t>DOF Systems and Technology</w:t>
      </w:r>
    </w:p>
    <w:p w:rsidR="00585E7D" w:rsidRPr="008160F5" w:rsidRDefault="00D96A64" w:rsidP="00585E7D">
      <w:pPr>
        <w:keepNext/>
        <w:rPr>
          <w:rFonts w:ascii="Times New Roman" w:hAnsi="Times New Roman" w:cs="Times New Roman"/>
          <w:sz w:val="24"/>
          <w:szCs w:val="24"/>
        </w:rPr>
      </w:pPr>
      <w:r>
        <w:rPr>
          <w:rFonts w:ascii="Times New Roman" w:hAnsi="Times New Roman" w:cs="Times New Roman"/>
          <w:sz w:val="24"/>
          <w:szCs w:val="24"/>
        </w:rPr>
        <w:t xml:space="preserve">DOF is in the process of implementing </w:t>
      </w:r>
      <w:r w:rsidR="00585E7D" w:rsidRPr="008160F5">
        <w:rPr>
          <w:rFonts w:ascii="Times New Roman" w:hAnsi="Times New Roman" w:cs="Times New Roman"/>
          <w:sz w:val="24"/>
          <w:szCs w:val="24"/>
        </w:rPr>
        <w:t xml:space="preserve">technology </w:t>
      </w:r>
      <w:r w:rsidR="00F34375">
        <w:rPr>
          <w:rFonts w:ascii="Times New Roman" w:hAnsi="Times New Roman" w:cs="Times New Roman"/>
          <w:sz w:val="24"/>
          <w:szCs w:val="24"/>
        </w:rPr>
        <w:t xml:space="preserve">which provides for more efficient and effective tax administration. </w:t>
      </w:r>
    </w:p>
    <w:p w:rsidR="00B73602" w:rsidRDefault="00B73602" w:rsidP="00B73602">
      <w:pPr>
        <w:keepNext/>
        <w:spacing w:after="0"/>
        <w:rPr>
          <w:rFonts w:ascii="Times New Roman" w:eastAsiaTheme="minorEastAsia" w:hAnsi="Times New Roman" w:cs="Times New Roman"/>
          <w:b/>
          <w:i/>
          <w:kern w:val="24"/>
          <w:sz w:val="24"/>
          <w:szCs w:val="24"/>
        </w:rPr>
      </w:pPr>
      <w:r w:rsidRPr="00191B6D">
        <w:rPr>
          <w:rFonts w:ascii="Times New Roman" w:eastAsiaTheme="minorEastAsia" w:hAnsi="Times New Roman" w:cs="Times New Roman"/>
          <w:b/>
          <w:i/>
          <w:kern w:val="24"/>
          <w:sz w:val="24"/>
          <w:szCs w:val="24"/>
        </w:rPr>
        <w:t xml:space="preserve">Business Tax System (“BTS”) </w:t>
      </w:r>
    </w:p>
    <w:p w:rsidR="00B73602" w:rsidRDefault="00B73602" w:rsidP="00B73602">
      <w:pPr>
        <w:keepNext/>
        <w:spacing w:after="0"/>
        <w:rPr>
          <w:rFonts w:ascii="Times New Roman" w:eastAsiaTheme="minorEastAsia" w:hAnsi="Times New Roman" w:cs="Times New Roman"/>
          <w:b/>
          <w:i/>
          <w:kern w:val="24"/>
          <w:sz w:val="24"/>
          <w:szCs w:val="24"/>
        </w:rPr>
      </w:pPr>
    </w:p>
    <w:p w:rsidR="00B73602" w:rsidRPr="007A42A2" w:rsidRDefault="00827A32" w:rsidP="00FA5D27">
      <w:pPr>
        <w:spacing w:after="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 xml:space="preserve">DOF has deployed a </w:t>
      </w:r>
      <w:r w:rsidR="00B73602">
        <w:rPr>
          <w:rFonts w:ascii="Times New Roman" w:eastAsiaTheme="minorEastAsia" w:hAnsi="Times New Roman" w:cs="Times New Roman"/>
          <w:kern w:val="24"/>
          <w:sz w:val="24"/>
          <w:szCs w:val="24"/>
        </w:rPr>
        <w:t>new BTS system</w:t>
      </w:r>
      <w:r w:rsidR="00BF5645">
        <w:rPr>
          <w:rFonts w:ascii="Times New Roman" w:eastAsiaTheme="minorEastAsia" w:hAnsi="Times New Roman" w:cs="Times New Roman"/>
          <w:kern w:val="24"/>
          <w:sz w:val="24"/>
          <w:szCs w:val="24"/>
        </w:rPr>
        <w:t xml:space="preserve"> </w:t>
      </w:r>
      <w:r>
        <w:rPr>
          <w:rFonts w:ascii="Times New Roman" w:eastAsiaTheme="minorEastAsia" w:hAnsi="Times New Roman" w:cs="Times New Roman"/>
          <w:kern w:val="24"/>
          <w:sz w:val="24"/>
          <w:szCs w:val="24"/>
        </w:rPr>
        <w:t>to replace</w:t>
      </w:r>
      <w:r w:rsidR="00BF5645">
        <w:rPr>
          <w:rFonts w:ascii="Times New Roman" w:eastAsiaTheme="minorEastAsia" w:hAnsi="Times New Roman" w:cs="Times New Roman"/>
          <w:kern w:val="24"/>
          <w:sz w:val="24"/>
          <w:szCs w:val="24"/>
        </w:rPr>
        <w:t xml:space="preserve"> two legacy systems that collect over $10 billion </w:t>
      </w:r>
      <w:r>
        <w:rPr>
          <w:rFonts w:ascii="Times New Roman" w:eastAsiaTheme="minorEastAsia" w:hAnsi="Times New Roman" w:cs="Times New Roman"/>
          <w:kern w:val="24"/>
          <w:sz w:val="24"/>
          <w:szCs w:val="24"/>
        </w:rPr>
        <w:t>annually in City business</w:t>
      </w:r>
      <w:r w:rsidR="00BF5645">
        <w:rPr>
          <w:rFonts w:ascii="Times New Roman" w:eastAsiaTheme="minorEastAsia" w:hAnsi="Times New Roman" w:cs="Times New Roman"/>
          <w:kern w:val="24"/>
          <w:sz w:val="24"/>
          <w:szCs w:val="24"/>
        </w:rPr>
        <w:t xml:space="preserve"> tax</w:t>
      </w:r>
      <w:r w:rsidR="00D05205">
        <w:rPr>
          <w:rFonts w:ascii="Times New Roman" w:eastAsiaTheme="minorEastAsia" w:hAnsi="Times New Roman" w:cs="Times New Roman"/>
          <w:kern w:val="24"/>
          <w:sz w:val="24"/>
          <w:szCs w:val="24"/>
        </w:rPr>
        <w:t>es.</w:t>
      </w:r>
      <w:r w:rsidR="00D96A64">
        <w:rPr>
          <w:rFonts w:ascii="Times New Roman" w:eastAsiaTheme="minorEastAsia" w:hAnsi="Times New Roman" w:cs="Times New Roman"/>
          <w:kern w:val="24"/>
          <w:sz w:val="24"/>
          <w:szCs w:val="24"/>
        </w:rPr>
        <w:t xml:space="preserve"> </w:t>
      </w:r>
      <w:r w:rsidR="00A22B09">
        <w:rPr>
          <w:rFonts w:ascii="Times New Roman" w:eastAsiaTheme="minorEastAsia" w:hAnsi="Times New Roman" w:cs="Times New Roman"/>
          <w:kern w:val="24"/>
          <w:sz w:val="24"/>
          <w:szCs w:val="24"/>
        </w:rPr>
        <w:t>BTS</w:t>
      </w:r>
      <w:r w:rsidR="00D96A64">
        <w:rPr>
          <w:rFonts w:ascii="Times New Roman" w:eastAsiaTheme="minorEastAsia" w:hAnsi="Times New Roman" w:cs="Times New Roman"/>
          <w:kern w:val="24"/>
          <w:sz w:val="24"/>
          <w:szCs w:val="24"/>
        </w:rPr>
        <w:t xml:space="preserve"> provides</w:t>
      </w:r>
      <w:r w:rsidR="00076942">
        <w:rPr>
          <w:rFonts w:ascii="Times New Roman" w:eastAsiaTheme="minorEastAsia" w:hAnsi="Times New Roman" w:cs="Times New Roman"/>
          <w:kern w:val="24"/>
          <w:sz w:val="24"/>
          <w:szCs w:val="24"/>
        </w:rPr>
        <w:t xml:space="preserve"> a</w:t>
      </w:r>
      <w:r w:rsidR="00D96A64">
        <w:rPr>
          <w:rFonts w:ascii="Times New Roman" w:eastAsiaTheme="minorEastAsia" w:hAnsi="Times New Roman" w:cs="Times New Roman"/>
          <w:kern w:val="24"/>
          <w:sz w:val="24"/>
          <w:szCs w:val="24"/>
        </w:rPr>
        <w:t xml:space="preserve">n </w:t>
      </w:r>
      <w:r w:rsidR="00076942">
        <w:rPr>
          <w:rFonts w:ascii="Times New Roman" w:eastAsiaTheme="minorEastAsia" w:hAnsi="Times New Roman" w:cs="Times New Roman"/>
          <w:kern w:val="24"/>
          <w:sz w:val="24"/>
          <w:szCs w:val="24"/>
        </w:rPr>
        <w:t>integrated view of all b</w:t>
      </w:r>
      <w:r w:rsidR="00D96A64">
        <w:rPr>
          <w:rFonts w:ascii="Times New Roman" w:eastAsiaTheme="minorEastAsia" w:hAnsi="Times New Roman" w:cs="Times New Roman"/>
          <w:kern w:val="24"/>
          <w:sz w:val="24"/>
          <w:szCs w:val="24"/>
        </w:rPr>
        <w:t xml:space="preserve">usiness and excise tax activity, </w:t>
      </w:r>
      <w:r w:rsidR="00076942">
        <w:rPr>
          <w:rFonts w:ascii="Times New Roman" w:eastAsiaTheme="minorEastAsia" w:hAnsi="Times New Roman" w:cs="Times New Roman"/>
          <w:kern w:val="24"/>
          <w:sz w:val="24"/>
          <w:szCs w:val="24"/>
        </w:rPr>
        <w:t>in</w:t>
      </w:r>
      <w:r w:rsidR="00D96A64">
        <w:rPr>
          <w:rFonts w:ascii="Times New Roman" w:eastAsiaTheme="minorEastAsia" w:hAnsi="Times New Roman" w:cs="Times New Roman"/>
          <w:kern w:val="24"/>
          <w:sz w:val="24"/>
          <w:szCs w:val="24"/>
        </w:rPr>
        <w:t>cluding taxpayer communications</w:t>
      </w:r>
      <w:r w:rsidR="00076942">
        <w:rPr>
          <w:rFonts w:ascii="Times New Roman" w:eastAsiaTheme="minorEastAsia" w:hAnsi="Times New Roman" w:cs="Times New Roman"/>
          <w:kern w:val="24"/>
          <w:sz w:val="24"/>
          <w:szCs w:val="24"/>
        </w:rPr>
        <w:t xml:space="preserve"> and processing activity</w:t>
      </w:r>
      <w:r w:rsidR="00D96A64">
        <w:rPr>
          <w:rFonts w:ascii="Times New Roman" w:eastAsiaTheme="minorEastAsia" w:hAnsi="Times New Roman" w:cs="Times New Roman"/>
          <w:kern w:val="24"/>
          <w:sz w:val="24"/>
          <w:szCs w:val="24"/>
        </w:rPr>
        <w:t>.</w:t>
      </w:r>
      <w:r w:rsidR="00FA5D27">
        <w:rPr>
          <w:rFonts w:ascii="Times New Roman" w:eastAsiaTheme="minorEastAsia" w:hAnsi="Times New Roman" w:cs="Times New Roman"/>
          <w:kern w:val="24"/>
          <w:sz w:val="24"/>
          <w:szCs w:val="24"/>
        </w:rPr>
        <w:t xml:space="preserve"> </w:t>
      </w:r>
    </w:p>
    <w:p w:rsidR="00B73602" w:rsidRDefault="00B73602" w:rsidP="00585E7D">
      <w:pPr>
        <w:spacing w:after="0"/>
        <w:rPr>
          <w:rFonts w:ascii="Times New Roman" w:eastAsiaTheme="minorEastAsia" w:hAnsi="Times New Roman" w:cs="Times New Roman"/>
          <w:b/>
          <w:i/>
          <w:kern w:val="24"/>
          <w:sz w:val="24"/>
          <w:szCs w:val="24"/>
        </w:rPr>
      </w:pPr>
    </w:p>
    <w:p w:rsidR="00B73602" w:rsidRPr="00686F44" w:rsidRDefault="00FA5D27" w:rsidP="00686F44">
      <w:pPr>
        <w:keepNext/>
        <w:spacing w:after="0"/>
        <w:rPr>
          <w:rFonts w:ascii="Times New Roman" w:eastAsiaTheme="minorEastAsia" w:hAnsi="Times New Roman" w:cs="Times New Roman"/>
          <w:b/>
          <w:i/>
          <w:kern w:val="24"/>
          <w:sz w:val="24"/>
          <w:szCs w:val="24"/>
        </w:rPr>
      </w:pPr>
      <w:r w:rsidRPr="00686F44">
        <w:rPr>
          <w:rFonts w:ascii="Times New Roman" w:eastAsiaTheme="minorEastAsia" w:hAnsi="Times New Roman" w:cs="Times New Roman"/>
          <w:b/>
          <w:i/>
          <w:kern w:val="24"/>
          <w:sz w:val="24"/>
          <w:szCs w:val="24"/>
        </w:rPr>
        <w:t>Availability of Historical Data</w:t>
      </w:r>
    </w:p>
    <w:p w:rsidR="00B73602" w:rsidRPr="00FB16A0" w:rsidRDefault="00B73602" w:rsidP="00B73602">
      <w:pPr>
        <w:keepNext/>
        <w:spacing w:after="0"/>
        <w:rPr>
          <w:rFonts w:ascii="Times New Roman" w:eastAsiaTheme="minorEastAsia" w:hAnsi="Times New Roman" w:cs="Times New Roman"/>
          <w:kern w:val="24"/>
          <w:sz w:val="24"/>
          <w:szCs w:val="24"/>
        </w:rPr>
      </w:pPr>
    </w:p>
    <w:p w:rsidR="00FA5D27" w:rsidRDefault="00B73602" w:rsidP="00B73602">
      <w:pPr>
        <w:spacing w:after="0"/>
        <w:rPr>
          <w:rFonts w:ascii="Times New Roman" w:eastAsiaTheme="minorEastAsia" w:hAnsi="Times New Roman" w:cs="Times New Roman"/>
          <w:kern w:val="24"/>
          <w:sz w:val="24"/>
          <w:szCs w:val="24"/>
        </w:rPr>
      </w:pPr>
      <w:r w:rsidRPr="00FB16A0">
        <w:rPr>
          <w:rFonts w:ascii="Times New Roman" w:eastAsiaTheme="minorEastAsia" w:hAnsi="Times New Roman" w:cs="Times New Roman"/>
          <w:kern w:val="24"/>
          <w:sz w:val="24"/>
          <w:szCs w:val="24"/>
        </w:rPr>
        <w:t>DOF migrated three years of</w:t>
      </w:r>
      <w:r w:rsidR="00BA2F97">
        <w:rPr>
          <w:rFonts w:ascii="Times New Roman" w:eastAsiaTheme="minorEastAsia" w:hAnsi="Times New Roman" w:cs="Times New Roman"/>
          <w:kern w:val="24"/>
          <w:sz w:val="24"/>
          <w:szCs w:val="24"/>
        </w:rPr>
        <w:t xml:space="preserve"> data to the new BTS system, and </w:t>
      </w:r>
      <w:r w:rsidRPr="00FB16A0">
        <w:rPr>
          <w:rFonts w:ascii="Times New Roman" w:eastAsiaTheme="minorEastAsia" w:hAnsi="Times New Roman" w:cs="Times New Roman"/>
          <w:kern w:val="24"/>
          <w:sz w:val="24"/>
          <w:szCs w:val="24"/>
        </w:rPr>
        <w:t xml:space="preserve">five years </w:t>
      </w:r>
      <w:r w:rsidR="00BA2F97">
        <w:rPr>
          <w:rFonts w:ascii="Times New Roman" w:eastAsiaTheme="minorEastAsia" w:hAnsi="Times New Roman" w:cs="Times New Roman"/>
          <w:kern w:val="24"/>
          <w:sz w:val="24"/>
          <w:szCs w:val="24"/>
        </w:rPr>
        <w:t xml:space="preserve">of data for those accounts with </w:t>
      </w:r>
      <w:r w:rsidRPr="00FB16A0">
        <w:rPr>
          <w:rFonts w:ascii="Times New Roman" w:eastAsiaTheme="minorEastAsia" w:hAnsi="Times New Roman" w:cs="Times New Roman"/>
          <w:kern w:val="24"/>
          <w:sz w:val="24"/>
          <w:szCs w:val="24"/>
        </w:rPr>
        <w:t xml:space="preserve">balances and overpayments, unless there was </w:t>
      </w:r>
      <w:r>
        <w:rPr>
          <w:rFonts w:ascii="Times New Roman" w:eastAsiaTheme="minorEastAsia" w:hAnsi="Times New Roman" w:cs="Times New Roman"/>
          <w:kern w:val="24"/>
          <w:sz w:val="24"/>
          <w:szCs w:val="24"/>
        </w:rPr>
        <w:t>a</w:t>
      </w:r>
      <w:r w:rsidRPr="00FB16A0">
        <w:rPr>
          <w:rFonts w:ascii="Times New Roman" w:eastAsiaTheme="minorEastAsia" w:hAnsi="Times New Roman" w:cs="Times New Roman"/>
          <w:kern w:val="24"/>
          <w:sz w:val="24"/>
          <w:szCs w:val="24"/>
        </w:rPr>
        <w:t xml:space="preserve"> matter in dispute</w:t>
      </w:r>
      <w:r>
        <w:rPr>
          <w:rFonts w:ascii="Times New Roman" w:eastAsiaTheme="minorEastAsia" w:hAnsi="Times New Roman" w:cs="Times New Roman"/>
          <w:kern w:val="24"/>
          <w:sz w:val="24"/>
          <w:szCs w:val="24"/>
        </w:rPr>
        <w:t xml:space="preserve"> or open warrant. </w:t>
      </w:r>
      <w:r w:rsidR="00BA2F97">
        <w:rPr>
          <w:rFonts w:ascii="Times New Roman" w:eastAsiaTheme="minorEastAsia" w:hAnsi="Times New Roman" w:cs="Times New Roman"/>
          <w:kern w:val="24"/>
          <w:sz w:val="24"/>
          <w:szCs w:val="24"/>
        </w:rPr>
        <w:t xml:space="preserve"> </w:t>
      </w:r>
      <w:r w:rsidR="00894C4C">
        <w:rPr>
          <w:rFonts w:ascii="Times New Roman" w:eastAsiaTheme="minorEastAsia" w:hAnsi="Times New Roman" w:cs="Times New Roman"/>
          <w:kern w:val="24"/>
          <w:sz w:val="24"/>
          <w:szCs w:val="24"/>
        </w:rPr>
        <w:t>DOF must access its older FAIRTAX system to review records older than three years</w:t>
      </w:r>
      <w:r w:rsidR="00BA2F97">
        <w:rPr>
          <w:rFonts w:ascii="Times New Roman" w:eastAsiaTheme="minorEastAsia" w:hAnsi="Times New Roman" w:cs="Times New Roman"/>
          <w:kern w:val="24"/>
          <w:sz w:val="24"/>
          <w:szCs w:val="24"/>
        </w:rPr>
        <w:t>.  A</w:t>
      </w:r>
      <w:r w:rsidRPr="00FB16A0">
        <w:rPr>
          <w:rFonts w:ascii="Times New Roman" w:eastAsiaTheme="minorEastAsia" w:hAnsi="Times New Roman" w:cs="Times New Roman"/>
          <w:kern w:val="24"/>
          <w:sz w:val="24"/>
          <w:szCs w:val="24"/>
        </w:rPr>
        <w:t xml:space="preserve">lthough </w:t>
      </w:r>
      <w:r w:rsidR="00BA2F97">
        <w:rPr>
          <w:rFonts w:ascii="Times New Roman" w:eastAsiaTheme="minorEastAsia" w:hAnsi="Times New Roman" w:cs="Times New Roman"/>
          <w:kern w:val="24"/>
          <w:sz w:val="24"/>
          <w:szCs w:val="24"/>
        </w:rPr>
        <w:t xml:space="preserve">these older records can be obtained in </w:t>
      </w:r>
      <w:r w:rsidRPr="00FB16A0">
        <w:rPr>
          <w:rFonts w:ascii="Times New Roman" w:eastAsiaTheme="minorEastAsia" w:hAnsi="Times New Roman" w:cs="Times New Roman"/>
          <w:kern w:val="24"/>
          <w:sz w:val="24"/>
          <w:szCs w:val="24"/>
        </w:rPr>
        <w:t>FAIRTAX</w:t>
      </w:r>
      <w:r w:rsidR="00BA2F97">
        <w:rPr>
          <w:rFonts w:ascii="Times New Roman" w:eastAsiaTheme="minorEastAsia" w:hAnsi="Times New Roman" w:cs="Times New Roman"/>
          <w:kern w:val="24"/>
          <w:sz w:val="24"/>
          <w:szCs w:val="24"/>
        </w:rPr>
        <w:t xml:space="preserve">, it requires the use of </w:t>
      </w:r>
      <w:r w:rsidRPr="00FB16A0">
        <w:rPr>
          <w:rFonts w:ascii="Times New Roman" w:eastAsiaTheme="minorEastAsia" w:hAnsi="Times New Roman" w:cs="Times New Roman"/>
          <w:kern w:val="24"/>
          <w:sz w:val="24"/>
          <w:szCs w:val="24"/>
        </w:rPr>
        <w:t>two systems</w:t>
      </w:r>
      <w:r w:rsidR="00BA2F97">
        <w:rPr>
          <w:rFonts w:ascii="Times New Roman" w:eastAsiaTheme="minorEastAsia" w:hAnsi="Times New Roman" w:cs="Times New Roman"/>
          <w:kern w:val="24"/>
          <w:sz w:val="24"/>
          <w:szCs w:val="24"/>
        </w:rPr>
        <w:t>.</w:t>
      </w:r>
      <w:r w:rsidRPr="00FB16A0">
        <w:rPr>
          <w:rFonts w:ascii="Times New Roman" w:eastAsiaTheme="minorEastAsia" w:hAnsi="Times New Roman" w:cs="Times New Roman"/>
          <w:kern w:val="24"/>
          <w:sz w:val="24"/>
          <w:szCs w:val="24"/>
        </w:rPr>
        <w:t xml:space="preserve"> </w:t>
      </w:r>
    </w:p>
    <w:p w:rsidR="00BA2F97" w:rsidRDefault="00BA2F97" w:rsidP="00B73602">
      <w:pPr>
        <w:spacing w:after="0"/>
        <w:rPr>
          <w:rFonts w:ascii="Times New Roman" w:eastAsiaTheme="minorEastAsia" w:hAnsi="Times New Roman" w:cs="Times New Roman"/>
          <w:kern w:val="24"/>
          <w:sz w:val="24"/>
          <w:szCs w:val="24"/>
        </w:rPr>
      </w:pPr>
    </w:p>
    <w:p w:rsidR="00FA5D27" w:rsidRDefault="00FA5D27" w:rsidP="008160F5">
      <w:pPr>
        <w:keepNext/>
        <w:spacing w:after="0"/>
        <w:rPr>
          <w:rFonts w:ascii="Times New Roman" w:eastAsiaTheme="minorEastAsia" w:hAnsi="Times New Roman" w:cs="Times New Roman"/>
          <w:kern w:val="24"/>
          <w:sz w:val="24"/>
          <w:szCs w:val="24"/>
          <w:u w:val="single"/>
        </w:rPr>
      </w:pPr>
      <w:r>
        <w:rPr>
          <w:rFonts w:ascii="Times New Roman" w:eastAsiaTheme="minorEastAsia" w:hAnsi="Times New Roman" w:cs="Times New Roman"/>
          <w:kern w:val="24"/>
          <w:sz w:val="24"/>
          <w:szCs w:val="24"/>
          <w:u w:val="single"/>
        </w:rPr>
        <w:t>Recommendation</w:t>
      </w:r>
      <w:r w:rsidR="00A22B09">
        <w:rPr>
          <w:rFonts w:ascii="Times New Roman" w:eastAsiaTheme="minorEastAsia" w:hAnsi="Times New Roman" w:cs="Times New Roman"/>
          <w:kern w:val="24"/>
          <w:sz w:val="24"/>
          <w:szCs w:val="24"/>
          <w:u w:val="single"/>
        </w:rPr>
        <w:t>s</w:t>
      </w:r>
      <w:r>
        <w:rPr>
          <w:rFonts w:ascii="Times New Roman" w:eastAsiaTheme="minorEastAsia" w:hAnsi="Times New Roman" w:cs="Times New Roman"/>
          <w:kern w:val="24"/>
          <w:sz w:val="24"/>
          <w:szCs w:val="24"/>
          <w:u w:val="single"/>
        </w:rPr>
        <w:t>:</w:t>
      </w:r>
    </w:p>
    <w:p w:rsidR="00F34375" w:rsidRDefault="00F34375" w:rsidP="00FA5D27">
      <w:pPr>
        <w:spacing w:after="0"/>
        <w:rPr>
          <w:rFonts w:ascii="Times New Roman" w:eastAsiaTheme="minorEastAsia" w:hAnsi="Times New Roman" w:cs="Times New Roman"/>
          <w:b/>
          <w:i/>
          <w:kern w:val="24"/>
          <w:sz w:val="24"/>
          <w:szCs w:val="24"/>
        </w:rPr>
      </w:pPr>
    </w:p>
    <w:p w:rsidR="00F34375" w:rsidRDefault="00E71411" w:rsidP="00F34375">
      <w:pPr>
        <w:spacing w:after="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DOF</w:t>
      </w:r>
      <w:r w:rsidR="00F34375">
        <w:rPr>
          <w:rFonts w:ascii="Times New Roman" w:eastAsiaTheme="minorEastAsia" w:hAnsi="Times New Roman" w:cs="Times New Roman"/>
          <w:kern w:val="24"/>
          <w:sz w:val="24"/>
          <w:szCs w:val="24"/>
        </w:rPr>
        <w:t xml:space="preserve"> should migrate all </w:t>
      </w:r>
      <w:r w:rsidR="00BA2F97">
        <w:rPr>
          <w:rFonts w:ascii="Times New Roman" w:eastAsiaTheme="minorEastAsia" w:hAnsi="Times New Roman" w:cs="Times New Roman"/>
          <w:kern w:val="24"/>
          <w:sz w:val="24"/>
          <w:szCs w:val="24"/>
        </w:rPr>
        <w:t xml:space="preserve">taxpayer </w:t>
      </w:r>
      <w:r w:rsidR="00F34375">
        <w:rPr>
          <w:rFonts w:ascii="Times New Roman" w:eastAsiaTheme="minorEastAsia" w:hAnsi="Times New Roman" w:cs="Times New Roman"/>
          <w:kern w:val="24"/>
          <w:sz w:val="24"/>
          <w:szCs w:val="24"/>
        </w:rPr>
        <w:t xml:space="preserve">data for which a statute of limitations has not expired. </w:t>
      </w:r>
    </w:p>
    <w:p w:rsidR="00BA2F97" w:rsidRDefault="00BA2F97" w:rsidP="00F34375">
      <w:pPr>
        <w:spacing w:after="0"/>
        <w:rPr>
          <w:rFonts w:ascii="Times New Roman" w:eastAsiaTheme="minorEastAsia" w:hAnsi="Times New Roman" w:cs="Times New Roman"/>
          <w:kern w:val="24"/>
          <w:sz w:val="24"/>
          <w:szCs w:val="24"/>
        </w:rPr>
      </w:pPr>
    </w:p>
    <w:p w:rsidR="00BA2F97" w:rsidRPr="00FB16A0" w:rsidRDefault="00BA2F97" w:rsidP="00BA2F97">
      <w:pPr>
        <w:spacing w:after="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 xml:space="preserve">DOF should reconcile </w:t>
      </w:r>
      <w:r>
        <w:rPr>
          <w:rFonts w:ascii="Times New Roman" w:eastAsiaTheme="minorEastAsia" w:hAnsi="Times New Roman" w:cs="Times New Roman"/>
          <w:kern w:val="24"/>
          <w:sz w:val="24"/>
          <w:szCs w:val="24"/>
        </w:rPr>
        <w:t xml:space="preserve">BTS when new returns are filed via the EIN. </w:t>
      </w:r>
      <w:r w:rsidRPr="00FB16A0">
        <w:rPr>
          <w:rFonts w:ascii="Times New Roman" w:eastAsiaTheme="minorEastAsia" w:hAnsi="Times New Roman" w:cs="Times New Roman"/>
          <w:kern w:val="24"/>
          <w:sz w:val="24"/>
          <w:szCs w:val="24"/>
        </w:rPr>
        <w:t>For businesses who have not filed timely returns, BTS should use the information on the business’s most recent return</w:t>
      </w:r>
      <w:r w:rsidRPr="00FB16A0">
        <w:rPr>
          <w:rFonts w:ascii="Times New Roman" w:hAnsi="Times New Roman" w:cs="Times New Roman"/>
          <w:sz w:val="24"/>
          <w:szCs w:val="24"/>
        </w:rPr>
        <w:t>.</w:t>
      </w:r>
      <w:r w:rsidRPr="00894C4C">
        <w:rPr>
          <w:rFonts w:ascii="Times New Roman" w:eastAsiaTheme="minorEastAsia" w:hAnsi="Times New Roman" w:cs="Times New Roman"/>
          <w:kern w:val="24"/>
          <w:sz w:val="24"/>
          <w:szCs w:val="24"/>
        </w:rPr>
        <w:t xml:space="preserve"> </w:t>
      </w:r>
      <w:r>
        <w:rPr>
          <w:rFonts w:ascii="Times New Roman" w:eastAsiaTheme="minorEastAsia" w:hAnsi="Times New Roman" w:cs="Times New Roman"/>
          <w:kern w:val="24"/>
          <w:sz w:val="24"/>
          <w:szCs w:val="24"/>
        </w:rPr>
        <w:t xml:space="preserve"> This issue should be addressed through the</w:t>
      </w:r>
      <w:r w:rsidRPr="00FB16A0">
        <w:rPr>
          <w:rFonts w:ascii="Times New Roman" w:eastAsiaTheme="minorEastAsia" w:hAnsi="Times New Roman" w:cs="Times New Roman"/>
          <w:kern w:val="24"/>
          <w:sz w:val="24"/>
          <w:szCs w:val="24"/>
        </w:rPr>
        <w:t xml:space="preserve"> init</w:t>
      </w:r>
      <w:r>
        <w:rPr>
          <w:rFonts w:ascii="Times New Roman" w:eastAsiaTheme="minorEastAsia" w:hAnsi="Times New Roman" w:cs="Times New Roman"/>
          <w:kern w:val="24"/>
          <w:sz w:val="24"/>
          <w:szCs w:val="24"/>
        </w:rPr>
        <w:t>iative to correct bad addresses.</w:t>
      </w:r>
    </w:p>
    <w:p w:rsidR="00BA2F97" w:rsidRDefault="00BA2F97" w:rsidP="00F34375">
      <w:pPr>
        <w:spacing w:after="0"/>
        <w:rPr>
          <w:rFonts w:ascii="Times New Roman" w:eastAsiaTheme="minorEastAsia" w:hAnsi="Times New Roman" w:cs="Times New Roman"/>
          <w:kern w:val="24"/>
          <w:sz w:val="24"/>
          <w:szCs w:val="24"/>
        </w:rPr>
      </w:pPr>
    </w:p>
    <w:p w:rsidR="003B2B89" w:rsidRPr="00FB16A0" w:rsidRDefault="003B2B89" w:rsidP="007A423A">
      <w:pPr>
        <w:spacing w:after="0"/>
        <w:rPr>
          <w:rFonts w:ascii="Times New Roman" w:hAnsi="Times New Roman" w:cs="Times New Roman"/>
          <w:b/>
          <w:sz w:val="24"/>
          <w:szCs w:val="24"/>
        </w:rPr>
      </w:pPr>
    </w:p>
    <w:p w:rsidR="00B73602" w:rsidRDefault="0023125D" w:rsidP="00B73602">
      <w:pPr>
        <w:keepNext/>
        <w:spacing w:after="0"/>
        <w:rPr>
          <w:rFonts w:ascii="Times New Roman" w:hAnsi="Times New Roman" w:cs="Times New Roman"/>
          <w:b/>
          <w:i/>
          <w:sz w:val="24"/>
          <w:szCs w:val="24"/>
        </w:rPr>
      </w:pPr>
      <w:r>
        <w:rPr>
          <w:rFonts w:ascii="Times New Roman" w:hAnsi="Times New Roman" w:cs="Times New Roman"/>
          <w:b/>
          <w:i/>
          <w:sz w:val="24"/>
          <w:szCs w:val="24"/>
        </w:rPr>
        <w:t xml:space="preserve">DOF </w:t>
      </w:r>
      <w:r w:rsidR="00B73602" w:rsidRPr="00FB16A0">
        <w:rPr>
          <w:rFonts w:ascii="Times New Roman" w:hAnsi="Times New Roman" w:cs="Times New Roman"/>
          <w:b/>
          <w:i/>
          <w:sz w:val="24"/>
          <w:szCs w:val="24"/>
        </w:rPr>
        <w:t>E-Services</w:t>
      </w:r>
    </w:p>
    <w:p w:rsidR="00B73602" w:rsidRDefault="00B73602" w:rsidP="00B73602">
      <w:pPr>
        <w:keepNext/>
        <w:spacing w:after="0"/>
        <w:rPr>
          <w:rFonts w:ascii="Times New Roman" w:hAnsi="Times New Roman" w:cs="Times New Roman"/>
          <w:sz w:val="24"/>
          <w:szCs w:val="24"/>
        </w:rPr>
      </w:pPr>
    </w:p>
    <w:p w:rsidR="00B73602" w:rsidRDefault="00B73602" w:rsidP="0023125D">
      <w:pPr>
        <w:spacing w:after="0"/>
        <w:rPr>
          <w:rFonts w:ascii="Times New Roman" w:hAnsi="Times New Roman" w:cs="Times New Roman"/>
          <w:sz w:val="24"/>
          <w:szCs w:val="24"/>
        </w:rPr>
      </w:pPr>
      <w:r w:rsidRPr="00FB16A0">
        <w:rPr>
          <w:rFonts w:ascii="Times New Roman" w:hAnsi="Times New Roman" w:cs="Times New Roman"/>
          <w:sz w:val="24"/>
          <w:szCs w:val="24"/>
        </w:rPr>
        <w:t>Taxpayers who c</w:t>
      </w:r>
      <w:r w:rsidR="00FA5D27">
        <w:rPr>
          <w:rFonts w:ascii="Times New Roman" w:hAnsi="Times New Roman" w:cs="Times New Roman"/>
          <w:sz w:val="24"/>
          <w:szCs w:val="24"/>
        </w:rPr>
        <w:t>annot access E</w:t>
      </w:r>
      <w:r w:rsidR="00FA5D27">
        <w:rPr>
          <w:rFonts w:ascii="Times New Roman" w:hAnsi="Times New Roman" w:cs="Times New Roman"/>
          <w:sz w:val="24"/>
          <w:szCs w:val="24"/>
        </w:rPr>
        <w:noBreakHyphen/>
      </w:r>
      <w:r w:rsidR="008F73DC">
        <w:rPr>
          <w:rFonts w:ascii="Times New Roman" w:hAnsi="Times New Roman" w:cs="Times New Roman"/>
          <w:sz w:val="24"/>
          <w:szCs w:val="24"/>
        </w:rPr>
        <w:t>Services</w:t>
      </w:r>
      <w:r w:rsidRPr="00FB16A0">
        <w:rPr>
          <w:rFonts w:ascii="Times New Roman" w:hAnsi="Times New Roman" w:cs="Times New Roman"/>
          <w:sz w:val="24"/>
          <w:szCs w:val="24"/>
        </w:rPr>
        <w:t xml:space="preserve"> call OTA for </w:t>
      </w:r>
      <w:r w:rsidR="008F73DC">
        <w:rPr>
          <w:rFonts w:ascii="Times New Roman" w:hAnsi="Times New Roman" w:cs="Times New Roman"/>
          <w:sz w:val="24"/>
          <w:szCs w:val="24"/>
        </w:rPr>
        <w:t>“transcripts” of certain years.</w:t>
      </w:r>
      <w:r w:rsidR="0023125D">
        <w:rPr>
          <w:rFonts w:ascii="Times New Roman" w:hAnsi="Times New Roman" w:cs="Times New Roman"/>
          <w:sz w:val="24"/>
          <w:szCs w:val="24"/>
        </w:rPr>
        <w:t xml:space="preserve"> </w:t>
      </w:r>
    </w:p>
    <w:p w:rsidR="0023125D" w:rsidRDefault="0023125D" w:rsidP="00B73602">
      <w:pPr>
        <w:spacing w:after="0"/>
        <w:rPr>
          <w:rFonts w:ascii="Times New Roman" w:hAnsi="Times New Roman" w:cs="Times New Roman"/>
          <w:sz w:val="24"/>
          <w:szCs w:val="24"/>
        </w:rPr>
      </w:pPr>
    </w:p>
    <w:p w:rsidR="00FA5D27" w:rsidRPr="00FA5D27" w:rsidRDefault="00FA5D27" w:rsidP="008160F5">
      <w:pPr>
        <w:keepNext/>
        <w:spacing w:after="0"/>
        <w:rPr>
          <w:rFonts w:ascii="Times New Roman" w:hAnsi="Times New Roman" w:cs="Times New Roman"/>
          <w:sz w:val="24"/>
          <w:szCs w:val="24"/>
          <w:u w:val="single"/>
        </w:rPr>
      </w:pPr>
      <w:r>
        <w:rPr>
          <w:rFonts w:ascii="Times New Roman" w:hAnsi="Times New Roman" w:cs="Times New Roman"/>
          <w:sz w:val="24"/>
          <w:szCs w:val="24"/>
          <w:u w:val="single"/>
        </w:rPr>
        <w:t>Recommendation</w:t>
      </w:r>
      <w:r w:rsidR="008160F5">
        <w:rPr>
          <w:rFonts w:ascii="Times New Roman" w:hAnsi="Times New Roman" w:cs="Times New Roman"/>
          <w:sz w:val="24"/>
          <w:szCs w:val="24"/>
          <w:u w:val="single"/>
        </w:rPr>
        <w:t>s</w:t>
      </w:r>
      <w:r>
        <w:rPr>
          <w:rFonts w:ascii="Times New Roman" w:hAnsi="Times New Roman" w:cs="Times New Roman"/>
          <w:sz w:val="24"/>
          <w:szCs w:val="24"/>
          <w:u w:val="single"/>
        </w:rPr>
        <w:t>:</w:t>
      </w:r>
    </w:p>
    <w:p w:rsidR="00FA5D27" w:rsidRPr="00FB16A0" w:rsidRDefault="00FA5D27" w:rsidP="008160F5">
      <w:pPr>
        <w:keepNext/>
        <w:spacing w:after="0"/>
        <w:rPr>
          <w:rFonts w:ascii="Times New Roman" w:hAnsi="Times New Roman" w:cs="Times New Roman"/>
          <w:sz w:val="24"/>
          <w:szCs w:val="24"/>
        </w:rPr>
      </w:pPr>
    </w:p>
    <w:p w:rsidR="00894C4C" w:rsidRDefault="0023125D" w:rsidP="00894C4C">
      <w:pPr>
        <w:spacing w:after="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 xml:space="preserve">Taxpayers who are unable to use </w:t>
      </w:r>
      <w:r w:rsidR="00B73602" w:rsidRPr="00FB16A0">
        <w:rPr>
          <w:rFonts w:ascii="Times New Roman" w:eastAsiaTheme="minorEastAsia" w:hAnsi="Times New Roman" w:cs="Times New Roman"/>
          <w:kern w:val="24"/>
          <w:sz w:val="24"/>
          <w:szCs w:val="24"/>
        </w:rPr>
        <w:t xml:space="preserve">E-Services should </w:t>
      </w:r>
      <w:r>
        <w:rPr>
          <w:rFonts w:ascii="Times New Roman" w:eastAsiaTheme="minorEastAsia" w:hAnsi="Times New Roman" w:cs="Times New Roman"/>
          <w:kern w:val="24"/>
          <w:sz w:val="24"/>
          <w:szCs w:val="24"/>
        </w:rPr>
        <w:t xml:space="preserve">have an alternate </w:t>
      </w:r>
      <w:r w:rsidR="00B73602" w:rsidRPr="00FB16A0">
        <w:rPr>
          <w:rFonts w:ascii="Times New Roman" w:eastAsiaTheme="minorEastAsia" w:hAnsi="Times New Roman" w:cs="Times New Roman"/>
          <w:kern w:val="24"/>
          <w:sz w:val="24"/>
          <w:szCs w:val="24"/>
        </w:rPr>
        <w:t xml:space="preserve">means of accessing tax information. One way would be to </w:t>
      </w:r>
      <w:r>
        <w:rPr>
          <w:rFonts w:ascii="Times New Roman" w:eastAsiaTheme="minorEastAsia" w:hAnsi="Times New Roman" w:cs="Times New Roman"/>
          <w:kern w:val="24"/>
          <w:sz w:val="24"/>
          <w:szCs w:val="24"/>
        </w:rPr>
        <w:t>enable taxpayers to receive electronic transcripts</w:t>
      </w:r>
      <w:r w:rsidR="000263BD">
        <w:rPr>
          <w:rFonts w:ascii="Times New Roman" w:eastAsiaTheme="minorEastAsia" w:hAnsi="Times New Roman" w:cs="Times New Roman"/>
          <w:kern w:val="24"/>
          <w:sz w:val="24"/>
          <w:szCs w:val="24"/>
        </w:rPr>
        <w:t xml:space="preserve"> via telephone</w:t>
      </w:r>
      <w:r>
        <w:rPr>
          <w:rFonts w:ascii="Times New Roman" w:eastAsiaTheme="minorEastAsia" w:hAnsi="Times New Roman" w:cs="Times New Roman"/>
          <w:kern w:val="24"/>
          <w:sz w:val="24"/>
          <w:szCs w:val="24"/>
        </w:rPr>
        <w:t xml:space="preserve"> similar to </w:t>
      </w:r>
      <w:r w:rsidR="000263BD">
        <w:rPr>
          <w:rFonts w:ascii="Times New Roman" w:eastAsiaTheme="minorEastAsia" w:hAnsi="Times New Roman" w:cs="Times New Roman"/>
          <w:kern w:val="24"/>
          <w:sz w:val="24"/>
          <w:szCs w:val="24"/>
        </w:rPr>
        <w:t>the service</w:t>
      </w:r>
      <w:r>
        <w:rPr>
          <w:rFonts w:ascii="Times New Roman" w:eastAsiaTheme="minorEastAsia" w:hAnsi="Times New Roman" w:cs="Times New Roman"/>
          <w:kern w:val="24"/>
          <w:sz w:val="24"/>
          <w:szCs w:val="24"/>
        </w:rPr>
        <w:t xml:space="preserve"> provided by the IRS. </w:t>
      </w:r>
    </w:p>
    <w:p w:rsidR="00B73602" w:rsidRPr="00FB16A0" w:rsidRDefault="00B73602" w:rsidP="007A423A">
      <w:pPr>
        <w:spacing w:after="0"/>
        <w:rPr>
          <w:rFonts w:ascii="Times New Roman" w:eastAsiaTheme="minorEastAsia" w:hAnsi="Times New Roman" w:cs="Times New Roman"/>
          <w:b/>
          <w:kern w:val="24"/>
          <w:sz w:val="24"/>
          <w:szCs w:val="24"/>
        </w:rPr>
      </w:pPr>
    </w:p>
    <w:p w:rsidR="001B7CDB" w:rsidRPr="00FB16A0" w:rsidRDefault="001B7CDB" w:rsidP="001B7CDB">
      <w:pPr>
        <w:spacing w:after="0"/>
        <w:rPr>
          <w:rFonts w:ascii="Times New Roman" w:eastAsiaTheme="minorEastAsia" w:hAnsi="Times New Roman" w:cs="Times New Roman"/>
          <w:kern w:val="24"/>
          <w:sz w:val="24"/>
          <w:szCs w:val="24"/>
        </w:rPr>
      </w:pPr>
    </w:p>
    <w:p w:rsidR="006A17BD" w:rsidRPr="00FB16A0" w:rsidRDefault="00F01006" w:rsidP="00176488">
      <w:pPr>
        <w:keepNext/>
        <w:rPr>
          <w:rFonts w:ascii="Times New Roman" w:eastAsia="Times New Roman" w:hAnsi="Times New Roman" w:cs="Times New Roman"/>
          <w:b/>
          <w:sz w:val="32"/>
          <w:szCs w:val="32"/>
          <w:u w:val="single"/>
        </w:rPr>
      </w:pPr>
      <w:r w:rsidRPr="00FB16A0">
        <w:rPr>
          <w:rFonts w:ascii="Times New Roman" w:eastAsia="Times New Roman" w:hAnsi="Times New Roman" w:cs="Times New Roman"/>
          <w:b/>
          <w:sz w:val="32"/>
          <w:szCs w:val="32"/>
          <w:u w:val="single"/>
        </w:rPr>
        <w:lastRenderedPageBreak/>
        <w:t>ADDENDUM</w:t>
      </w:r>
      <w:r w:rsidR="001B7CDB" w:rsidRPr="00FB16A0">
        <w:rPr>
          <w:rFonts w:ascii="Times New Roman" w:eastAsia="Times New Roman" w:hAnsi="Times New Roman" w:cs="Times New Roman"/>
          <w:b/>
          <w:sz w:val="32"/>
          <w:szCs w:val="32"/>
          <w:u w:val="single"/>
        </w:rPr>
        <w:t>: SCRIE and DRIE Statistics</w:t>
      </w:r>
    </w:p>
    <w:p w:rsidR="00D82B1C" w:rsidRPr="00FB16A0" w:rsidRDefault="00D82B1C" w:rsidP="00D82B1C">
      <w:pPr>
        <w:rPr>
          <w:rFonts w:ascii="Times New Roman" w:hAnsi="Times New Roman" w:cs="Times New Roman"/>
          <w:sz w:val="24"/>
          <w:szCs w:val="24"/>
        </w:rPr>
      </w:pPr>
      <w:r w:rsidRPr="00FB16A0">
        <w:rPr>
          <w:rFonts w:ascii="Times New Roman" w:hAnsi="Times New Roman" w:cs="Times New Roman"/>
          <w:sz w:val="24"/>
          <w:szCs w:val="24"/>
        </w:rPr>
        <w:t>The SCRIE and DRIE Ombudspersons positions</w:t>
      </w:r>
      <w:r w:rsidR="00404820" w:rsidRPr="00FB16A0">
        <w:rPr>
          <w:rFonts w:ascii="Times New Roman" w:hAnsi="Times New Roman" w:cs="Times New Roman"/>
          <w:sz w:val="24"/>
          <w:szCs w:val="24"/>
        </w:rPr>
        <w:t>,</w:t>
      </w:r>
      <w:r w:rsidR="00BA5384">
        <w:rPr>
          <w:rFonts w:ascii="Times New Roman" w:hAnsi="Times New Roman" w:cs="Times New Roman"/>
          <w:sz w:val="24"/>
          <w:szCs w:val="24"/>
        </w:rPr>
        <w:t xml:space="preserve"> established by </w:t>
      </w:r>
      <w:r w:rsidR="007A2197">
        <w:rPr>
          <w:rFonts w:ascii="Times New Roman" w:hAnsi="Times New Roman" w:cs="Times New Roman"/>
          <w:sz w:val="24"/>
          <w:szCs w:val="24"/>
        </w:rPr>
        <w:t>s</w:t>
      </w:r>
      <w:r w:rsidR="00BA5384">
        <w:rPr>
          <w:rFonts w:ascii="Times New Roman" w:hAnsi="Times New Roman" w:cs="Times New Roman"/>
          <w:sz w:val="24"/>
          <w:szCs w:val="24"/>
        </w:rPr>
        <w:t>ection 11-137 of the New York City Administrative Code</w:t>
      </w:r>
      <w:r w:rsidR="00404820" w:rsidRPr="00FB16A0">
        <w:rPr>
          <w:rFonts w:ascii="Times New Roman" w:hAnsi="Times New Roman" w:cs="Times New Roman"/>
          <w:sz w:val="24"/>
          <w:szCs w:val="24"/>
        </w:rPr>
        <w:t xml:space="preserve">, </w:t>
      </w:r>
      <w:r w:rsidRPr="00FB16A0">
        <w:rPr>
          <w:rFonts w:ascii="Times New Roman" w:hAnsi="Times New Roman" w:cs="Times New Roman"/>
          <w:sz w:val="24"/>
          <w:szCs w:val="24"/>
        </w:rPr>
        <w:t>we</w:t>
      </w:r>
      <w:r w:rsidR="00BA5384">
        <w:rPr>
          <w:rFonts w:ascii="Times New Roman" w:hAnsi="Times New Roman" w:cs="Times New Roman"/>
          <w:sz w:val="24"/>
          <w:szCs w:val="24"/>
        </w:rPr>
        <w:t xml:space="preserve">re transferred to OTA in 2016. </w:t>
      </w:r>
      <w:r w:rsidRPr="00FB16A0">
        <w:rPr>
          <w:rFonts w:ascii="Times New Roman" w:hAnsi="Times New Roman" w:cs="Times New Roman"/>
          <w:sz w:val="24"/>
          <w:szCs w:val="24"/>
        </w:rPr>
        <w:t>These Ombudspersons handled</w:t>
      </w:r>
      <w:r w:rsidR="00A967A0" w:rsidRPr="00FB16A0">
        <w:rPr>
          <w:rFonts w:ascii="Times New Roman" w:hAnsi="Times New Roman" w:cs="Times New Roman"/>
          <w:sz w:val="24"/>
          <w:szCs w:val="24"/>
        </w:rPr>
        <w:t xml:space="preserve"> 1,</w:t>
      </w:r>
      <w:r w:rsidR="00833001" w:rsidRPr="00FB16A0">
        <w:rPr>
          <w:rFonts w:ascii="Times New Roman" w:hAnsi="Times New Roman" w:cs="Times New Roman"/>
          <w:sz w:val="24"/>
          <w:szCs w:val="24"/>
        </w:rPr>
        <w:t>518</w:t>
      </w:r>
      <w:r w:rsidRPr="00FB16A0">
        <w:rPr>
          <w:rFonts w:ascii="Times New Roman" w:hAnsi="Times New Roman" w:cs="Times New Roman"/>
          <w:sz w:val="24"/>
          <w:szCs w:val="24"/>
        </w:rPr>
        <w:t xml:space="preserve"> SCRIE matters (</w:t>
      </w:r>
      <w:r w:rsidR="005B132C" w:rsidRPr="00FB16A0">
        <w:rPr>
          <w:rFonts w:ascii="Times New Roman" w:hAnsi="Times New Roman" w:cs="Times New Roman"/>
          <w:sz w:val="24"/>
          <w:szCs w:val="24"/>
        </w:rPr>
        <w:t>1,154</w:t>
      </w:r>
      <w:r w:rsidRPr="00FB16A0">
        <w:rPr>
          <w:rFonts w:ascii="Times New Roman" w:hAnsi="Times New Roman" w:cs="Times New Roman"/>
          <w:sz w:val="24"/>
          <w:szCs w:val="24"/>
        </w:rPr>
        <w:t xml:space="preserve"> inquiries, </w:t>
      </w:r>
      <w:r w:rsidR="005B132C" w:rsidRPr="00FB16A0">
        <w:rPr>
          <w:rFonts w:ascii="Times New Roman" w:hAnsi="Times New Roman" w:cs="Times New Roman"/>
          <w:sz w:val="24"/>
          <w:szCs w:val="24"/>
        </w:rPr>
        <w:t>363</w:t>
      </w:r>
      <w:r w:rsidR="007A2197">
        <w:rPr>
          <w:rFonts w:ascii="Times New Roman" w:hAnsi="Times New Roman" w:cs="Times New Roman"/>
          <w:sz w:val="24"/>
          <w:szCs w:val="24"/>
        </w:rPr>
        <w:t xml:space="preserve"> c</w:t>
      </w:r>
      <w:r w:rsidRPr="00FB16A0">
        <w:rPr>
          <w:rFonts w:ascii="Times New Roman" w:hAnsi="Times New Roman" w:cs="Times New Roman"/>
          <w:sz w:val="24"/>
          <w:szCs w:val="24"/>
        </w:rPr>
        <w:t xml:space="preserve">ases) and </w:t>
      </w:r>
      <w:r w:rsidR="005B132C" w:rsidRPr="00FB16A0">
        <w:rPr>
          <w:rFonts w:ascii="Times New Roman" w:hAnsi="Times New Roman" w:cs="Times New Roman"/>
          <w:sz w:val="24"/>
          <w:szCs w:val="24"/>
        </w:rPr>
        <w:t>571</w:t>
      </w:r>
      <w:r w:rsidR="007A2197">
        <w:rPr>
          <w:rFonts w:ascii="Times New Roman" w:hAnsi="Times New Roman" w:cs="Times New Roman"/>
          <w:sz w:val="24"/>
          <w:szCs w:val="24"/>
        </w:rPr>
        <w:t xml:space="preserve"> </w:t>
      </w:r>
      <w:r w:rsidRPr="00FB16A0">
        <w:rPr>
          <w:rFonts w:ascii="Times New Roman" w:hAnsi="Times New Roman" w:cs="Times New Roman"/>
          <w:sz w:val="24"/>
          <w:szCs w:val="24"/>
        </w:rPr>
        <w:t>DRIE matters (</w:t>
      </w:r>
      <w:r w:rsidR="005B132C" w:rsidRPr="00FB16A0">
        <w:rPr>
          <w:rFonts w:ascii="Times New Roman" w:hAnsi="Times New Roman" w:cs="Times New Roman"/>
          <w:sz w:val="24"/>
          <w:szCs w:val="24"/>
        </w:rPr>
        <w:t>412</w:t>
      </w:r>
      <w:r w:rsidRPr="00FB16A0">
        <w:rPr>
          <w:rFonts w:ascii="Times New Roman" w:hAnsi="Times New Roman" w:cs="Times New Roman"/>
          <w:sz w:val="24"/>
          <w:szCs w:val="24"/>
        </w:rPr>
        <w:t xml:space="preserve"> inquiries, </w:t>
      </w:r>
      <w:r w:rsidR="005B132C" w:rsidRPr="00FB16A0">
        <w:rPr>
          <w:rFonts w:ascii="Times New Roman" w:hAnsi="Times New Roman" w:cs="Times New Roman"/>
          <w:sz w:val="24"/>
          <w:szCs w:val="24"/>
        </w:rPr>
        <w:t>159</w:t>
      </w:r>
      <w:r w:rsidR="007A2197">
        <w:rPr>
          <w:rFonts w:ascii="Times New Roman" w:hAnsi="Times New Roman" w:cs="Times New Roman"/>
          <w:sz w:val="24"/>
          <w:szCs w:val="24"/>
        </w:rPr>
        <w:t xml:space="preserve"> </w:t>
      </w:r>
      <w:r w:rsidRPr="00FB16A0">
        <w:rPr>
          <w:rFonts w:ascii="Times New Roman" w:hAnsi="Times New Roman" w:cs="Times New Roman"/>
          <w:sz w:val="24"/>
          <w:szCs w:val="24"/>
        </w:rPr>
        <w:t xml:space="preserve">cases) for a total of </w:t>
      </w:r>
      <w:r w:rsidR="005B132C" w:rsidRPr="00FB16A0">
        <w:rPr>
          <w:rFonts w:ascii="Times New Roman" w:hAnsi="Times New Roman" w:cs="Times New Roman"/>
          <w:sz w:val="24"/>
          <w:szCs w:val="24"/>
        </w:rPr>
        <w:t>2,089</w:t>
      </w:r>
      <w:r w:rsidR="00BA5384">
        <w:rPr>
          <w:rFonts w:ascii="Times New Roman" w:hAnsi="Times New Roman" w:cs="Times New Roman"/>
          <w:sz w:val="24"/>
          <w:szCs w:val="24"/>
        </w:rPr>
        <w:t xml:space="preserve"> requests for assistance. </w:t>
      </w:r>
      <w:r w:rsidRPr="00FB16A0">
        <w:rPr>
          <w:rFonts w:ascii="Times New Roman" w:hAnsi="Times New Roman" w:cs="Times New Roman"/>
          <w:sz w:val="24"/>
          <w:szCs w:val="24"/>
        </w:rPr>
        <w:t xml:space="preserve">Below is a breakdown of these requests by NYC Council District and the number of cases and fiscal impact. </w:t>
      </w:r>
    </w:p>
    <w:p w:rsidR="00D82B1C" w:rsidRPr="00FB16A0" w:rsidRDefault="00D82B1C" w:rsidP="004B796A">
      <w:pPr>
        <w:shd w:val="clear" w:color="auto" w:fill="FFFFFF"/>
        <w:tabs>
          <w:tab w:val="left" w:pos="810"/>
          <w:tab w:val="left" w:pos="990"/>
        </w:tabs>
        <w:spacing w:before="100" w:beforeAutospacing="1" w:after="100" w:afterAutospacing="1" w:line="300" w:lineRule="atLeast"/>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The SCRIE and DRIE Ombudspersons submit their own annual rep</w:t>
      </w:r>
      <w:r w:rsidR="00FA307A" w:rsidRPr="00FB16A0">
        <w:rPr>
          <w:rFonts w:ascii="Times New Roman" w:eastAsia="Times New Roman" w:hAnsi="Times New Roman" w:cs="Times New Roman"/>
          <w:sz w:val="24"/>
          <w:szCs w:val="24"/>
        </w:rPr>
        <w:t xml:space="preserve">ort on October 1 of each </w:t>
      </w:r>
      <w:r w:rsidR="00FA307A" w:rsidRPr="004064CD">
        <w:rPr>
          <w:rFonts w:ascii="Times New Roman" w:eastAsia="Times New Roman" w:hAnsi="Times New Roman" w:cs="Times New Roman"/>
          <w:sz w:val="24"/>
          <w:szCs w:val="24"/>
        </w:rPr>
        <w:t>year.</w:t>
      </w:r>
      <w:r w:rsidR="008160F5">
        <w:rPr>
          <w:rStyle w:val="FootnoteReference"/>
          <w:rFonts w:ascii="Times New Roman" w:eastAsia="Times New Roman" w:hAnsi="Times New Roman" w:cs="Times New Roman"/>
          <w:sz w:val="24"/>
          <w:szCs w:val="24"/>
        </w:rPr>
        <w:footnoteReference w:id="13"/>
      </w:r>
    </w:p>
    <w:bookmarkEnd w:id="4"/>
    <w:p w:rsidR="004B796A" w:rsidRPr="00FB16A0" w:rsidRDefault="004B796A" w:rsidP="004B796A">
      <w:pPr>
        <w:keepNext/>
        <w:shd w:val="clear" w:color="auto" w:fill="FFFFFF"/>
        <w:tabs>
          <w:tab w:val="left" w:pos="810"/>
          <w:tab w:val="left" w:pos="990"/>
        </w:tabs>
        <w:spacing w:before="100" w:beforeAutospacing="1" w:after="100" w:afterAutospacing="1" w:line="300" w:lineRule="atLeast"/>
        <w:rPr>
          <w:rFonts w:ascii="Times New Roman" w:eastAsia="Times New Roman" w:hAnsi="Times New Roman" w:cs="Times New Roman"/>
          <w:b/>
          <w:sz w:val="24"/>
          <w:szCs w:val="24"/>
        </w:rPr>
      </w:pPr>
      <w:r w:rsidRPr="00FB16A0">
        <w:rPr>
          <w:rFonts w:ascii="Times New Roman" w:eastAsia="Times New Roman" w:hAnsi="Times New Roman" w:cs="Times New Roman"/>
          <w:b/>
          <w:sz w:val="24"/>
          <w:szCs w:val="24"/>
        </w:rPr>
        <w:t>August 2015 through January 2017</w:t>
      </w:r>
    </w:p>
    <w:tbl>
      <w:tblPr>
        <w:tblW w:w="7755" w:type="dxa"/>
        <w:tblInd w:w="93" w:type="dxa"/>
        <w:tblLook w:val="04A0" w:firstRow="1" w:lastRow="0" w:firstColumn="1" w:lastColumn="0" w:noHBand="0" w:noVBand="1"/>
      </w:tblPr>
      <w:tblGrid>
        <w:gridCol w:w="994"/>
        <w:gridCol w:w="1003"/>
        <w:gridCol w:w="3015"/>
        <w:gridCol w:w="2743"/>
      </w:tblGrid>
      <w:tr w:rsidR="004B796A" w:rsidRPr="00FB16A0" w:rsidTr="0088076B">
        <w:trPr>
          <w:trHeight w:val="612"/>
          <w:tblHeader/>
        </w:trPr>
        <w:tc>
          <w:tcPr>
            <w:tcW w:w="994" w:type="dxa"/>
            <w:tcBorders>
              <w:top w:val="single" w:sz="8" w:space="0" w:color="auto"/>
              <w:left w:val="single" w:sz="8" w:space="0" w:color="auto"/>
              <w:bottom w:val="single" w:sz="8" w:space="0" w:color="auto"/>
              <w:right w:val="single" w:sz="8" w:space="0" w:color="auto"/>
            </w:tcBorders>
            <w:shd w:val="clear" w:color="000000" w:fill="A6A6A6"/>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 xml:space="preserve">Council District </w:t>
            </w:r>
          </w:p>
        </w:tc>
        <w:tc>
          <w:tcPr>
            <w:tcW w:w="1003" w:type="dxa"/>
            <w:tcBorders>
              <w:top w:val="single" w:sz="8" w:space="0" w:color="auto"/>
              <w:left w:val="nil"/>
              <w:bottom w:val="single" w:sz="8" w:space="0" w:color="auto"/>
              <w:right w:val="single" w:sz="8" w:space="0" w:color="auto"/>
            </w:tcBorders>
            <w:shd w:val="clear" w:color="000000" w:fill="A6A6A6"/>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Number of Cases</w:t>
            </w:r>
          </w:p>
        </w:tc>
        <w:tc>
          <w:tcPr>
            <w:tcW w:w="3015" w:type="dxa"/>
            <w:tcBorders>
              <w:top w:val="single" w:sz="8" w:space="0" w:color="auto"/>
              <w:left w:val="nil"/>
              <w:bottom w:val="single" w:sz="8" w:space="0" w:color="auto"/>
              <w:right w:val="single" w:sz="8" w:space="0" w:color="auto"/>
            </w:tcBorders>
            <w:shd w:val="clear" w:color="000000" w:fill="A6A6A6"/>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 xml:space="preserve">Dollar Impact of Ombudsperson Action for Current Lease Term </w:t>
            </w:r>
          </w:p>
        </w:tc>
        <w:tc>
          <w:tcPr>
            <w:tcW w:w="2743" w:type="dxa"/>
            <w:tcBorders>
              <w:top w:val="single" w:sz="8" w:space="0" w:color="auto"/>
              <w:left w:val="nil"/>
              <w:bottom w:val="single" w:sz="8" w:space="0" w:color="auto"/>
              <w:right w:val="single" w:sz="8" w:space="0" w:color="auto"/>
            </w:tcBorders>
            <w:shd w:val="clear" w:color="000000" w:fill="A6A6A6"/>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 xml:space="preserve">Council </w:t>
            </w:r>
            <w:r w:rsidR="007A2197">
              <w:rPr>
                <w:rFonts w:ascii="Times New Roman" w:eastAsia="Times New Roman" w:hAnsi="Times New Roman" w:cs="Times New Roman"/>
                <w:sz w:val="24"/>
                <w:szCs w:val="24"/>
              </w:rPr>
              <w:br/>
            </w:r>
            <w:r w:rsidRPr="00FB16A0">
              <w:rPr>
                <w:rFonts w:ascii="Times New Roman" w:eastAsia="Times New Roman" w:hAnsi="Times New Roman" w:cs="Times New Roman"/>
                <w:sz w:val="24"/>
                <w:szCs w:val="24"/>
              </w:rPr>
              <w:t xml:space="preserve">Member </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7</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$28,443</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Margaret Chin</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6</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$3,400</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Rosie Mendez</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16</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$37,435</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Corey Johnson</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13</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$61,375</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Daniel R. Garodnick</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5</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8</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$38,785</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Ben Kallos</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6</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11</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$40,112</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Helen Rosenthal</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7</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11</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$107,633</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Mark Levine</w:t>
            </w:r>
          </w:p>
        </w:tc>
      </w:tr>
      <w:tr w:rsidR="004B796A" w:rsidRPr="00FB16A0" w:rsidTr="0088076B">
        <w:trPr>
          <w:trHeight w:val="233"/>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8</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$33,195</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Melissa Mark-Viverito</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9</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7</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$33,360</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Bill Perkins</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10</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27</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$157,706</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Ydanis Rodriguez</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11</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6</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$94,033</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Andrew Cohen</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12</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$4,786</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Andy King</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13</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$7,250</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James Vacca</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14</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$22,137</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Fernando Cabrera</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15</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5</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$17,947</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Ritchie Torres</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16</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8</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$9,411</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Vanessa L</w:t>
            </w:r>
            <w:r w:rsidR="007A2197">
              <w:rPr>
                <w:rFonts w:ascii="Times New Roman" w:eastAsia="Times New Roman" w:hAnsi="Times New Roman" w:cs="Times New Roman"/>
                <w:sz w:val="24"/>
                <w:szCs w:val="24"/>
              </w:rPr>
              <w:t>.</w:t>
            </w:r>
            <w:r w:rsidRPr="00FB16A0">
              <w:rPr>
                <w:rFonts w:ascii="Times New Roman" w:eastAsia="Times New Roman" w:hAnsi="Times New Roman" w:cs="Times New Roman"/>
                <w:sz w:val="24"/>
                <w:szCs w:val="24"/>
              </w:rPr>
              <w:t xml:space="preserve"> Gibson</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17</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$6,272</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Rafael Salamanca</w:t>
            </w:r>
            <w:r w:rsidR="007A2197">
              <w:rPr>
                <w:rFonts w:ascii="Times New Roman" w:eastAsia="Times New Roman" w:hAnsi="Times New Roman" w:cs="Times New Roman"/>
                <w:sz w:val="24"/>
                <w:szCs w:val="24"/>
              </w:rPr>
              <w:t>, Jr.</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18</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5</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$7,051</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Annabel Palma</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19</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$33,298</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Paul Vallone</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20</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$16,282</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Peter Koo</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21</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5</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$25,002</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Julissa Ferreras-Copeland</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22</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$25,021</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Costa Constantinides</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23</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$13,499</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Barry Grodenchik</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24</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6</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$34,878</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Rory Lancman</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25</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7</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$35,984</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Daniel Dromm</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lastRenderedPageBreak/>
              <w:t>26</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6</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$10,320</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Jimmy Van Bramer</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27</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$15,083</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I. Daneek Miller</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28</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$4,893</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Ruben Wills</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29</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6</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$49,073</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Karen Koslowitz</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30</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$19,192</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Elizabeth Crowley</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31</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Donovan Richards</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32</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$7,667</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Eric Ulrich</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33</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$11,863</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Stephen Levin</w:t>
            </w:r>
          </w:p>
        </w:tc>
      </w:tr>
      <w:tr w:rsidR="004B796A" w:rsidRPr="00FB16A0" w:rsidTr="0088076B">
        <w:trPr>
          <w:trHeight w:val="197"/>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34</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$12,550</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Antonio Reynoso</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35</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$17,791</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Laurie Cumbo</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36</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$7,729</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Robert Cornegy</w:t>
            </w:r>
            <w:r w:rsidR="007A2197">
              <w:rPr>
                <w:rFonts w:ascii="Times New Roman" w:eastAsia="Times New Roman" w:hAnsi="Times New Roman" w:cs="Times New Roman"/>
                <w:sz w:val="24"/>
                <w:szCs w:val="24"/>
              </w:rPr>
              <w:t>, Jr.</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37</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Rafael Espinal</w:t>
            </w:r>
            <w:r w:rsidR="007A2197">
              <w:rPr>
                <w:rFonts w:ascii="Times New Roman" w:eastAsia="Times New Roman" w:hAnsi="Times New Roman" w:cs="Times New Roman"/>
                <w:sz w:val="24"/>
                <w:szCs w:val="24"/>
              </w:rPr>
              <w:t>, Jr.</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38</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$9,310</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Carlos Menchaca</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39</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9</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$44,546</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Brad Lander</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40</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12</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$63,442</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Mathieu Eugene</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41</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5</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$10,750</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Darlene Mealy</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42</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Inez Barron</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43</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$6,206</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Vincent Gentile</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44</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$5,205</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David G. Greenfield</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45</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$21,868</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Jumaane D. Williams</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46</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Alan Maisel</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47</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6</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$24,395</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Mark Treyger</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48</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12</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$76,467</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Chaim M. Deutsch</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49</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Deborah Rose</w:t>
            </w:r>
          </w:p>
        </w:tc>
      </w:tr>
      <w:tr w:rsidR="004B796A" w:rsidRPr="00FB16A0" w:rsidTr="0088076B">
        <w:trPr>
          <w:trHeight w:val="201"/>
        </w:trPr>
        <w:tc>
          <w:tcPr>
            <w:tcW w:w="994" w:type="dxa"/>
            <w:tcBorders>
              <w:top w:val="nil"/>
              <w:left w:val="single" w:sz="4" w:space="0" w:color="auto"/>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50</w:t>
            </w:r>
          </w:p>
        </w:tc>
        <w:tc>
          <w:tcPr>
            <w:tcW w:w="100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3</w:t>
            </w:r>
          </w:p>
        </w:tc>
        <w:tc>
          <w:tcPr>
            <w:tcW w:w="3015"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$27,451</w:t>
            </w:r>
          </w:p>
        </w:tc>
        <w:tc>
          <w:tcPr>
            <w:tcW w:w="2743" w:type="dxa"/>
            <w:tcBorders>
              <w:top w:val="nil"/>
              <w:left w:val="nil"/>
              <w:bottom w:val="single" w:sz="4" w:space="0" w:color="auto"/>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Steven Matteo</w:t>
            </w:r>
          </w:p>
        </w:tc>
      </w:tr>
      <w:tr w:rsidR="004B796A" w:rsidRPr="00FB16A0" w:rsidTr="0088076B">
        <w:trPr>
          <w:trHeight w:val="211"/>
        </w:trPr>
        <w:tc>
          <w:tcPr>
            <w:tcW w:w="994" w:type="dxa"/>
            <w:tcBorders>
              <w:top w:val="nil"/>
              <w:left w:val="single" w:sz="4" w:space="0" w:color="auto"/>
              <w:bottom w:val="nil"/>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51</w:t>
            </w:r>
          </w:p>
        </w:tc>
        <w:tc>
          <w:tcPr>
            <w:tcW w:w="1003" w:type="dxa"/>
            <w:tcBorders>
              <w:top w:val="nil"/>
              <w:left w:val="nil"/>
              <w:bottom w:val="nil"/>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3015" w:type="dxa"/>
            <w:tcBorders>
              <w:top w:val="nil"/>
              <w:left w:val="nil"/>
              <w:bottom w:val="nil"/>
              <w:right w:val="single" w:sz="4" w:space="0" w:color="auto"/>
            </w:tcBorders>
            <w:shd w:val="clear" w:color="000000" w:fill="FFFFFF"/>
            <w:noWrap/>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$0</w:t>
            </w:r>
          </w:p>
        </w:tc>
        <w:tc>
          <w:tcPr>
            <w:tcW w:w="2743" w:type="dxa"/>
            <w:tcBorders>
              <w:top w:val="nil"/>
              <w:left w:val="nil"/>
              <w:bottom w:val="nil"/>
              <w:right w:val="single" w:sz="4" w:space="0" w:color="auto"/>
            </w:tcBorders>
            <w:shd w:val="clear" w:color="000000" w:fill="FFFFFF"/>
            <w:noWrap/>
            <w:hideMark/>
          </w:tcPr>
          <w:p w:rsidR="004B796A" w:rsidRPr="00FB16A0" w:rsidRDefault="004B796A" w:rsidP="0088076B">
            <w:pPr>
              <w:spacing w:after="0" w:line="240" w:lineRule="auto"/>
              <w:rPr>
                <w:rFonts w:ascii="Times New Roman" w:eastAsia="Times New Roman" w:hAnsi="Times New Roman" w:cs="Times New Roman"/>
                <w:sz w:val="24"/>
                <w:szCs w:val="24"/>
              </w:rPr>
            </w:pPr>
            <w:r w:rsidRPr="00FB16A0">
              <w:rPr>
                <w:rFonts w:ascii="Times New Roman" w:eastAsia="Times New Roman" w:hAnsi="Times New Roman" w:cs="Times New Roman"/>
                <w:sz w:val="24"/>
                <w:szCs w:val="24"/>
              </w:rPr>
              <w:t>Jo</w:t>
            </w:r>
            <w:r w:rsidR="002F16C3">
              <w:rPr>
                <w:rFonts w:ascii="Times New Roman" w:eastAsia="Times New Roman" w:hAnsi="Times New Roman" w:cs="Times New Roman"/>
                <w:sz w:val="24"/>
                <w:szCs w:val="24"/>
              </w:rPr>
              <w:t>s</w:t>
            </w:r>
            <w:r w:rsidRPr="00FB16A0">
              <w:rPr>
                <w:rFonts w:ascii="Times New Roman" w:eastAsia="Times New Roman" w:hAnsi="Times New Roman" w:cs="Times New Roman"/>
                <w:sz w:val="24"/>
                <w:szCs w:val="24"/>
              </w:rPr>
              <w:t>e</w:t>
            </w:r>
            <w:r w:rsidR="002F16C3">
              <w:rPr>
                <w:rFonts w:ascii="Times New Roman" w:eastAsia="Times New Roman" w:hAnsi="Times New Roman" w:cs="Times New Roman"/>
                <w:sz w:val="24"/>
                <w:szCs w:val="24"/>
              </w:rPr>
              <w:t>ph</w:t>
            </w:r>
            <w:r w:rsidRPr="00FB16A0">
              <w:rPr>
                <w:rFonts w:ascii="Times New Roman" w:eastAsia="Times New Roman" w:hAnsi="Times New Roman" w:cs="Times New Roman"/>
                <w:sz w:val="24"/>
                <w:szCs w:val="24"/>
              </w:rPr>
              <w:t xml:space="preserve"> </w:t>
            </w:r>
            <w:r w:rsidR="007A2197" w:rsidRPr="00FB16A0">
              <w:rPr>
                <w:rFonts w:ascii="Times New Roman" w:eastAsia="Times New Roman" w:hAnsi="Times New Roman" w:cs="Times New Roman"/>
                <w:sz w:val="24"/>
                <w:szCs w:val="24"/>
              </w:rPr>
              <w:t>Borelli</w:t>
            </w:r>
          </w:p>
        </w:tc>
      </w:tr>
      <w:tr w:rsidR="004B796A" w:rsidRPr="00FB16A0" w:rsidTr="0088076B">
        <w:trPr>
          <w:trHeight w:val="211"/>
        </w:trPr>
        <w:tc>
          <w:tcPr>
            <w:tcW w:w="994" w:type="dxa"/>
            <w:tcBorders>
              <w:top w:val="single" w:sz="8" w:space="0" w:color="auto"/>
              <w:left w:val="single" w:sz="8" w:space="0" w:color="auto"/>
              <w:bottom w:val="single" w:sz="8" w:space="0" w:color="auto"/>
              <w:right w:val="nil"/>
            </w:tcBorders>
            <w:shd w:val="clear" w:color="000000" w:fill="FFFFFF"/>
            <w:noWrap/>
            <w:vAlign w:val="bottom"/>
            <w:hideMark/>
          </w:tcPr>
          <w:p w:rsidR="004B796A" w:rsidRPr="00FB16A0" w:rsidRDefault="004B796A" w:rsidP="0088076B">
            <w:pPr>
              <w:spacing w:after="0" w:line="240" w:lineRule="auto"/>
              <w:jc w:val="center"/>
              <w:rPr>
                <w:rFonts w:ascii="Times New Roman" w:eastAsia="Times New Roman" w:hAnsi="Times New Roman" w:cs="Times New Roman"/>
                <w:b/>
                <w:bCs/>
                <w:sz w:val="24"/>
                <w:szCs w:val="24"/>
              </w:rPr>
            </w:pPr>
            <w:r w:rsidRPr="00FB16A0">
              <w:rPr>
                <w:rFonts w:ascii="Times New Roman" w:eastAsia="Times New Roman" w:hAnsi="Times New Roman" w:cs="Times New Roman"/>
                <w:b/>
                <w:bCs/>
                <w:sz w:val="24"/>
                <w:szCs w:val="24"/>
              </w:rPr>
              <w:t>Total</w:t>
            </w:r>
          </w:p>
        </w:tc>
        <w:tc>
          <w:tcPr>
            <w:tcW w:w="1003" w:type="dxa"/>
            <w:tcBorders>
              <w:top w:val="single" w:sz="8" w:space="0" w:color="auto"/>
              <w:left w:val="nil"/>
              <w:bottom w:val="single" w:sz="8" w:space="0" w:color="auto"/>
              <w:right w:val="nil"/>
            </w:tcBorders>
            <w:shd w:val="clear" w:color="000000" w:fill="FFFFFF"/>
            <w:noWrap/>
            <w:vAlign w:val="bottom"/>
            <w:hideMark/>
          </w:tcPr>
          <w:p w:rsidR="004B796A" w:rsidRPr="00FB16A0" w:rsidRDefault="004B796A" w:rsidP="0088076B">
            <w:pPr>
              <w:spacing w:after="0" w:line="240" w:lineRule="auto"/>
              <w:jc w:val="center"/>
              <w:rPr>
                <w:rFonts w:ascii="Times New Roman" w:eastAsia="Times New Roman" w:hAnsi="Times New Roman" w:cs="Times New Roman"/>
                <w:b/>
                <w:bCs/>
                <w:sz w:val="24"/>
                <w:szCs w:val="24"/>
              </w:rPr>
            </w:pPr>
            <w:r w:rsidRPr="00FB16A0">
              <w:rPr>
                <w:rFonts w:ascii="Times New Roman" w:eastAsia="Times New Roman" w:hAnsi="Times New Roman" w:cs="Times New Roman"/>
                <w:b/>
                <w:bCs/>
                <w:sz w:val="24"/>
                <w:szCs w:val="24"/>
              </w:rPr>
              <w:t>271</w:t>
            </w:r>
          </w:p>
        </w:tc>
        <w:tc>
          <w:tcPr>
            <w:tcW w:w="3015" w:type="dxa"/>
            <w:tcBorders>
              <w:top w:val="single" w:sz="8" w:space="0" w:color="auto"/>
              <w:left w:val="nil"/>
              <w:bottom w:val="single" w:sz="8" w:space="0" w:color="auto"/>
              <w:right w:val="nil"/>
            </w:tcBorders>
            <w:shd w:val="clear" w:color="000000" w:fill="FFFFFF"/>
            <w:noWrap/>
            <w:vAlign w:val="bottom"/>
            <w:hideMark/>
          </w:tcPr>
          <w:p w:rsidR="004B796A" w:rsidRPr="00FB16A0" w:rsidRDefault="004B796A" w:rsidP="0088076B">
            <w:pPr>
              <w:spacing w:after="0" w:line="240" w:lineRule="auto"/>
              <w:jc w:val="center"/>
              <w:rPr>
                <w:rFonts w:ascii="Times New Roman" w:eastAsia="Times New Roman" w:hAnsi="Times New Roman" w:cs="Times New Roman"/>
                <w:b/>
                <w:bCs/>
                <w:sz w:val="24"/>
                <w:szCs w:val="24"/>
              </w:rPr>
            </w:pPr>
            <w:r w:rsidRPr="00FB16A0">
              <w:rPr>
                <w:rFonts w:ascii="Times New Roman" w:eastAsia="Times New Roman" w:hAnsi="Times New Roman" w:cs="Times New Roman"/>
                <w:b/>
                <w:bCs/>
                <w:sz w:val="24"/>
                <w:szCs w:val="24"/>
              </w:rPr>
              <w:t>$1,340,099</w:t>
            </w:r>
          </w:p>
        </w:tc>
        <w:tc>
          <w:tcPr>
            <w:tcW w:w="2743" w:type="dxa"/>
            <w:tcBorders>
              <w:top w:val="single" w:sz="8" w:space="0" w:color="auto"/>
              <w:left w:val="nil"/>
              <w:bottom w:val="single" w:sz="8" w:space="0" w:color="auto"/>
              <w:right w:val="single" w:sz="8" w:space="0" w:color="auto"/>
            </w:tcBorders>
            <w:shd w:val="clear" w:color="000000" w:fill="FFFFFF"/>
            <w:noWrap/>
            <w:vAlign w:val="bottom"/>
            <w:hideMark/>
          </w:tcPr>
          <w:p w:rsidR="004B796A" w:rsidRPr="00FB16A0" w:rsidRDefault="004B796A" w:rsidP="0088076B">
            <w:pPr>
              <w:spacing w:after="0" w:line="240" w:lineRule="auto"/>
              <w:jc w:val="center"/>
              <w:rPr>
                <w:rFonts w:ascii="Times New Roman" w:eastAsia="Times New Roman" w:hAnsi="Times New Roman" w:cs="Times New Roman"/>
                <w:sz w:val="24"/>
                <w:szCs w:val="24"/>
              </w:rPr>
            </w:pPr>
          </w:p>
        </w:tc>
      </w:tr>
    </w:tbl>
    <w:p w:rsidR="004B796A" w:rsidRPr="00FB16A0" w:rsidRDefault="004B796A" w:rsidP="004B796A">
      <w:pPr>
        <w:rPr>
          <w:rFonts w:ascii="Times New Roman" w:hAnsi="Times New Roman" w:cs="Times New Roman"/>
          <w:sz w:val="24"/>
          <w:szCs w:val="24"/>
        </w:rPr>
      </w:pPr>
    </w:p>
    <w:p w:rsidR="004B796A" w:rsidRPr="00FB16A0" w:rsidRDefault="004B796A" w:rsidP="004B796A">
      <w:pPr>
        <w:spacing w:after="0" w:line="240" w:lineRule="auto"/>
        <w:rPr>
          <w:rFonts w:ascii="Times New Roman" w:eastAsiaTheme="minorEastAsia" w:hAnsi="Times New Roman" w:cs="Times New Roman"/>
          <w:kern w:val="24"/>
          <w:sz w:val="24"/>
          <w:szCs w:val="24"/>
        </w:rPr>
        <w:sectPr w:rsidR="004B796A" w:rsidRPr="00FB16A0" w:rsidSect="00E62E20">
          <w:type w:val="continuous"/>
          <w:pgSz w:w="12240" w:h="15840"/>
          <w:pgMar w:top="1440" w:right="1440" w:bottom="1440" w:left="1440" w:header="720" w:footer="720" w:gutter="0"/>
          <w:cols w:space="720"/>
          <w:docGrid w:linePitch="360"/>
        </w:sectPr>
      </w:pPr>
    </w:p>
    <w:p w:rsidR="002946C0" w:rsidRDefault="002946C0">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br w:type="page"/>
      </w:r>
    </w:p>
    <w:p w:rsidR="00404820" w:rsidRPr="00FB16A0" w:rsidRDefault="00404820" w:rsidP="00404820">
      <w:pPr>
        <w:jc w:val="center"/>
        <w:rPr>
          <w:rFonts w:ascii="Times New Roman" w:hAnsi="Times New Roman" w:cs="Times New Roman"/>
          <w:b/>
          <w:sz w:val="24"/>
          <w:szCs w:val="24"/>
          <w:u w:val="single"/>
        </w:rPr>
      </w:pPr>
      <w:r w:rsidRPr="00FB16A0">
        <w:rPr>
          <w:rFonts w:ascii="Times New Roman" w:hAnsi="Times New Roman" w:cs="Times New Roman"/>
          <w:b/>
          <w:sz w:val="24"/>
          <w:szCs w:val="24"/>
          <w:u w:val="single"/>
        </w:rPr>
        <w:lastRenderedPageBreak/>
        <w:t>GLOSSARY</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Abatements</w:t>
      </w:r>
      <w:r w:rsidRPr="00FB16A0">
        <w:rPr>
          <w:rFonts w:ascii="Times New Roman" w:hAnsi="Times New Roman" w:cs="Times New Roman"/>
          <w:sz w:val="24"/>
          <w:szCs w:val="24"/>
        </w:rPr>
        <w:t xml:space="preserve"> – A reduction in real estate tax liability through credit rather than a reduction in taxable assessed value. The city has several abatements, including the J-51 housing rehabilitation, the Senior Citizens Rent Increase Exemption, the Lower Manhattan Revitalization, the Industrial and Commercial abatements and the Cooperative and Condominium abatements.</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ACRIS</w:t>
      </w:r>
      <w:r w:rsidRPr="00FB16A0">
        <w:rPr>
          <w:rFonts w:ascii="Times New Roman" w:hAnsi="Times New Roman" w:cs="Times New Roman"/>
          <w:sz w:val="24"/>
          <w:szCs w:val="24"/>
        </w:rPr>
        <w:t xml:space="preserve"> </w:t>
      </w:r>
      <w:r w:rsidRPr="00FB16A0">
        <w:rPr>
          <w:rFonts w:ascii="Times New Roman" w:hAnsi="Times New Roman" w:cs="Times New Roman"/>
          <w:b/>
          <w:sz w:val="24"/>
          <w:szCs w:val="24"/>
        </w:rPr>
        <w:t>(Automated City Register Information System) –</w:t>
      </w:r>
      <w:r w:rsidRPr="00FB16A0">
        <w:rPr>
          <w:rFonts w:ascii="Times New Roman" w:hAnsi="Times New Roman" w:cs="Times New Roman"/>
          <w:sz w:val="24"/>
          <w:szCs w:val="24"/>
        </w:rPr>
        <w:t xml:space="preserve"> Database of all property documents filed in the City Register’s office—deeds, mortgages, etc.</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 xml:space="preserve">Actual Assessed Value </w:t>
      </w:r>
      <w:r w:rsidRPr="00FB16A0">
        <w:rPr>
          <w:rFonts w:ascii="Times New Roman" w:hAnsi="Times New Roman" w:cs="Times New Roman"/>
          <w:sz w:val="24"/>
          <w:szCs w:val="24"/>
        </w:rPr>
        <w:t>– The assessment established for all tax classes and without regard to the five-year phase-in requirement for most Class 2 and all Class 4 properties.</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 xml:space="preserve">Assessed Value (AV) </w:t>
      </w:r>
      <w:r w:rsidRPr="00FB16A0">
        <w:rPr>
          <w:rFonts w:ascii="Times New Roman" w:hAnsi="Times New Roman" w:cs="Times New Roman"/>
          <w:sz w:val="24"/>
          <w:szCs w:val="24"/>
        </w:rPr>
        <w:t>– The value of a property for real property taxation purposes. In New York City, property may have three assessed values: actual assessed value, transition assessed value, and billable assessed value. The amount it can rise each year is capped at certain percentages for Class 1 and Class 2A, 2B, and 2C properties.</w:t>
      </w:r>
    </w:p>
    <w:p w:rsidR="00404820" w:rsidRPr="00FB16A0" w:rsidRDefault="00404820" w:rsidP="00404820">
      <w:pPr>
        <w:rPr>
          <w:rFonts w:ascii="Times New Roman" w:hAnsi="Times New Roman" w:cs="Times New Roman"/>
          <w:b/>
          <w:sz w:val="24"/>
          <w:szCs w:val="24"/>
        </w:rPr>
      </w:pPr>
      <w:r w:rsidRPr="00FB16A0">
        <w:rPr>
          <w:rFonts w:ascii="Times New Roman" w:hAnsi="Times New Roman" w:cs="Times New Roman"/>
          <w:b/>
          <w:sz w:val="24"/>
          <w:szCs w:val="24"/>
        </w:rPr>
        <w:t xml:space="preserve">Assessment Ratio </w:t>
      </w:r>
      <w:r w:rsidRPr="00FB16A0">
        <w:rPr>
          <w:rFonts w:ascii="Times New Roman" w:hAnsi="Times New Roman" w:cs="Times New Roman"/>
          <w:sz w:val="24"/>
          <w:szCs w:val="24"/>
        </w:rPr>
        <w:t>– The ratio of assessed value to market value.</w:t>
      </w:r>
    </w:p>
    <w:p w:rsidR="00E7770B" w:rsidRDefault="00E7770B" w:rsidP="00E7770B">
      <w:pPr>
        <w:rPr>
          <w:rFonts w:ascii="Times New Roman" w:hAnsi="Times New Roman" w:cs="Times New Roman"/>
          <w:sz w:val="24"/>
          <w:szCs w:val="24"/>
        </w:rPr>
      </w:pPr>
      <w:r w:rsidRPr="00FB16A0">
        <w:rPr>
          <w:rFonts w:ascii="Times New Roman" w:hAnsi="Times New Roman" w:cs="Times New Roman"/>
          <w:b/>
          <w:sz w:val="24"/>
          <w:szCs w:val="24"/>
        </w:rPr>
        <w:t>B</w:t>
      </w:r>
      <w:r>
        <w:rPr>
          <w:rFonts w:ascii="Times New Roman" w:hAnsi="Times New Roman" w:cs="Times New Roman"/>
          <w:b/>
          <w:sz w:val="24"/>
          <w:szCs w:val="24"/>
        </w:rPr>
        <w:t xml:space="preserve">BL – </w:t>
      </w:r>
      <w:r>
        <w:rPr>
          <w:rFonts w:ascii="Times New Roman" w:hAnsi="Times New Roman" w:cs="Times New Roman"/>
          <w:sz w:val="24"/>
          <w:szCs w:val="24"/>
        </w:rPr>
        <w:t>Borough, Block, and Lot</w:t>
      </w:r>
      <w:r w:rsidR="004065D7">
        <w:rPr>
          <w:rFonts w:ascii="Times New Roman" w:hAnsi="Times New Roman" w:cs="Times New Roman"/>
          <w:sz w:val="24"/>
          <w:szCs w:val="24"/>
        </w:rPr>
        <w:t xml:space="preserve"> number</w:t>
      </w:r>
      <w:r>
        <w:rPr>
          <w:rFonts w:ascii="Times New Roman" w:hAnsi="Times New Roman" w:cs="Times New Roman"/>
          <w:sz w:val="24"/>
          <w:szCs w:val="24"/>
        </w:rPr>
        <w:t>. The parcel number system used to identify units of real estate within New York City.</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 xml:space="preserve">Billable Assessed Value </w:t>
      </w:r>
      <w:r w:rsidRPr="00FB16A0">
        <w:rPr>
          <w:rFonts w:ascii="Times New Roman" w:hAnsi="Times New Roman" w:cs="Times New Roman"/>
          <w:sz w:val="24"/>
          <w:szCs w:val="24"/>
        </w:rPr>
        <w:t>– The assessed value on which tax liability is based. For properties in Classes 2 or 4, the billable assessed value is the lower of the actual or transitional assessed value.</w:t>
      </w:r>
    </w:p>
    <w:p w:rsidR="00404820" w:rsidRPr="00FB16A0" w:rsidRDefault="00E7770B" w:rsidP="00404820">
      <w:pPr>
        <w:rPr>
          <w:rFonts w:ascii="Times New Roman" w:hAnsi="Times New Roman" w:cs="Times New Roman"/>
          <w:sz w:val="24"/>
          <w:szCs w:val="24"/>
        </w:rPr>
      </w:pPr>
      <w:r>
        <w:rPr>
          <w:rFonts w:ascii="Times New Roman" w:hAnsi="Times New Roman" w:cs="Times New Roman"/>
          <w:b/>
          <w:sz w:val="24"/>
          <w:szCs w:val="24"/>
        </w:rPr>
        <w:t>B</w:t>
      </w:r>
      <w:r w:rsidR="00404820" w:rsidRPr="00FB16A0">
        <w:rPr>
          <w:rFonts w:ascii="Times New Roman" w:hAnsi="Times New Roman" w:cs="Times New Roman"/>
          <w:b/>
          <w:sz w:val="24"/>
          <w:szCs w:val="24"/>
        </w:rPr>
        <w:t xml:space="preserve">orough – 1= </w:t>
      </w:r>
      <w:r w:rsidR="00404820" w:rsidRPr="00FB16A0">
        <w:rPr>
          <w:rFonts w:ascii="Times New Roman" w:hAnsi="Times New Roman" w:cs="Times New Roman"/>
          <w:sz w:val="24"/>
          <w:szCs w:val="24"/>
        </w:rPr>
        <w:t xml:space="preserve">Manhattan; </w:t>
      </w:r>
      <w:r w:rsidR="00404820" w:rsidRPr="00FB16A0">
        <w:rPr>
          <w:rFonts w:ascii="Times New Roman" w:hAnsi="Times New Roman" w:cs="Times New Roman"/>
          <w:b/>
          <w:sz w:val="24"/>
          <w:szCs w:val="24"/>
        </w:rPr>
        <w:t xml:space="preserve">2= </w:t>
      </w:r>
      <w:r w:rsidR="00404820" w:rsidRPr="00FB16A0">
        <w:rPr>
          <w:rFonts w:ascii="Times New Roman" w:hAnsi="Times New Roman" w:cs="Times New Roman"/>
          <w:sz w:val="24"/>
          <w:szCs w:val="24"/>
        </w:rPr>
        <w:t xml:space="preserve">Bronx; </w:t>
      </w:r>
      <w:r w:rsidR="00404820" w:rsidRPr="00FB16A0">
        <w:rPr>
          <w:rFonts w:ascii="Times New Roman" w:hAnsi="Times New Roman" w:cs="Times New Roman"/>
          <w:b/>
          <w:sz w:val="24"/>
          <w:szCs w:val="24"/>
        </w:rPr>
        <w:t>3=</w:t>
      </w:r>
      <w:r w:rsidR="00404820" w:rsidRPr="00FB16A0">
        <w:rPr>
          <w:rFonts w:ascii="Times New Roman" w:hAnsi="Times New Roman" w:cs="Times New Roman"/>
          <w:sz w:val="24"/>
          <w:szCs w:val="24"/>
        </w:rPr>
        <w:t xml:space="preserve"> Brooklyn; </w:t>
      </w:r>
      <w:r w:rsidR="00404820" w:rsidRPr="00FB16A0">
        <w:rPr>
          <w:rFonts w:ascii="Times New Roman" w:hAnsi="Times New Roman" w:cs="Times New Roman"/>
          <w:b/>
          <w:sz w:val="24"/>
          <w:szCs w:val="24"/>
        </w:rPr>
        <w:t xml:space="preserve">4= </w:t>
      </w:r>
      <w:r w:rsidR="00404820" w:rsidRPr="00FB16A0">
        <w:rPr>
          <w:rFonts w:ascii="Times New Roman" w:hAnsi="Times New Roman" w:cs="Times New Roman"/>
          <w:sz w:val="24"/>
          <w:szCs w:val="24"/>
        </w:rPr>
        <w:t xml:space="preserve">Queens; </w:t>
      </w:r>
      <w:r w:rsidR="00404820" w:rsidRPr="00FB16A0">
        <w:rPr>
          <w:rFonts w:ascii="Times New Roman" w:hAnsi="Times New Roman" w:cs="Times New Roman"/>
          <w:b/>
          <w:sz w:val="24"/>
          <w:szCs w:val="24"/>
        </w:rPr>
        <w:t xml:space="preserve">5= </w:t>
      </w:r>
      <w:r w:rsidR="00404820" w:rsidRPr="00FB16A0">
        <w:rPr>
          <w:rFonts w:ascii="Times New Roman" w:hAnsi="Times New Roman" w:cs="Times New Roman"/>
          <w:sz w:val="24"/>
          <w:szCs w:val="24"/>
        </w:rPr>
        <w:t>Staten Island</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BTS (Business Tax System)</w:t>
      </w:r>
      <w:r w:rsidRPr="00FB16A0">
        <w:rPr>
          <w:rFonts w:ascii="Times New Roman" w:hAnsi="Times New Roman" w:cs="Times New Roman"/>
          <w:sz w:val="24"/>
          <w:szCs w:val="24"/>
        </w:rPr>
        <w:t xml:space="preserve"> – Collection and accounting system for all business taxes, which went live in early 2016. GENTAX is the software that runs the BTS system.</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CAMA (Computer Assisted Mass Appraisal)</w:t>
      </w:r>
      <w:r w:rsidRPr="00FB16A0">
        <w:rPr>
          <w:rFonts w:ascii="Times New Roman" w:hAnsi="Times New Roman" w:cs="Times New Roman"/>
          <w:sz w:val="24"/>
          <w:szCs w:val="24"/>
        </w:rPr>
        <w:t xml:space="preserve"> – Collections property-related information and performs valuation calculations for residential and commercial properties. It interfaces with DOF’s assessment system (RPAD) </w:t>
      </w:r>
      <w:r w:rsidR="005B132C" w:rsidRPr="00FB16A0">
        <w:rPr>
          <w:rFonts w:ascii="Times New Roman" w:hAnsi="Times New Roman" w:cs="Times New Roman"/>
          <w:sz w:val="24"/>
          <w:szCs w:val="24"/>
        </w:rPr>
        <w:t>through</w:t>
      </w:r>
      <w:r w:rsidRPr="00FB16A0">
        <w:rPr>
          <w:rFonts w:ascii="Times New Roman" w:hAnsi="Times New Roman" w:cs="Times New Roman"/>
          <w:sz w:val="24"/>
          <w:szCs w:val="24"/>
        </w:rPr>
        <w:t xml:space="preserve"> customized applications.</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 xml:space="preserve">Comparable Sales Method </w:t>
      </w:r>
      <w:r w:rsidRPr="00FB16A0">
        <w:rPr>
          <w:rFonts w:ascii="Times New Roman" w:hAnsi="Times New Roman" w:cs="Times New Roman"/>
          <w:sz w:val="24"/>
          <w:szCs w:val="24"/>
        </w:rPr>
        <w:t>– The process by which a property’s market value is estimated based on the sales price of similar (comparable) properties.</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Condominium (“Condo”)</w:t>
      </w:r>
      <w:r w:rsidRPr="00FB16A0">
        <w:rPr>
          <w:rFonts w:ascii="Times New Roman" w:hAnsi="Times New Roman" w:cs="Times New Roman"/>
          <w:sz w:val="24"/>
          <w:szCs w:val="24"/>
        </w:rPr>
        <w:t xml:space="preserve"> – A form of ownership that combines individual ownership of residential or commercial units with joint ownership of common areas such as hallways, etc.</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 xml:space="preserve">Cooperative (“Co-op”) </w:t>
      </w:r>
      <w:r w:rsidRPr="00FB16A0">
        <w:rPr>
          <w:rFonts w:ascii="Times New Roman" w:hAnsi="Times New Roman" w:cs="Times New Roman"/>
          <w:sz w:val="24"/>
          <w:szCs w:val="24"/>
        </w:rPr>
        <w:t>– A form of corporate ownership of real property whereby shareholders are entitled to use dwelling units or other units of space.</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lastRenderedPageBreak/>
        <w:t xml:space="preserve">DDC </w:t>
      </w:r>
      <w:r w:rsidRPr="00FB16A0">
        <w:rPr>
          <w:rFonts w:ascii="Times New Roman" w:hAnsi="Times New Roman" w:cs="Times New Roman"/>
          <w:sz w:val="24"/>
          <w:szCs w:val="24"/>
        </w:rPr>
        <w:t>– The New York City Department of Design and Construction, which builds and renovates City structures, as well as delivers roadway, sidewalk, sewer, and water main construction projects in all five boroughs.</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Delinquency</w:t>
      </w:r>
      <w:r w:rsidRPr="00FB16A0">
        <w:rPr>
          <w:rFonts w:ascii="Times New Roman" w:hAnsi="Times New Roman" w:cs="Times New Roman"/>
          <w:sz w:val="24"/>
          <w:szCs w:val="24"/>
        </w:rPr>
        <w:t xml:space="preserve"> – The amount of tax liability that remains outstanding after the due date, allowing for any grace period, if applicable.</w:t>
      </w:r>
    </w:p>
    <w:p w:rsidR="00404820" w:rsidRPr="00FB16A0" w:rsidRDefault="00404820" w:rsidP="00404820">
      <w:r w:rsidRPr="00FB16A0">
        <w:rPr>
          <w:rFonts w:ascii="Times New Roman" w:hAnsi="Times New Roman" w:cs="Times New Roman"/>
          <w:b/>
          <w:sz w:val="24"/>
          <w:szCs w:val="24"/>
        </w:rPr>
        <w:t xml:space="preserve">DEP – </w:t>
      </w:r>
      <w:r w:rsidRPr="00FB16A0">
        <w:rPr>
          <w:rFonts w:ascii="Times New Roman" w:hAnsi="Times New Roman" w:cs="Times New Roman"/>
          <w:sz w:val="24"/>
          <w:szCs w:val="24"/>
        </w:rPr>
        <w:t xml:space="preserve">The New York City Department of Environmental Protection, whose mission is to </w:t>
      </w:r>
      <w:r w:rsidRPr="00FB16A0">
        <w:rPr>
          <w:rFonts w:ascii="Times New Roman" w:hAnsi="Times New Roman" w:cs="Times New Roman"/>
          <w:sz w:val="24"/>
          <w:szCs w:val="24"/>
          <w:shd w:val="clear" w:color="auto" w:fill="FFFFFF"/>
        </w:rPr>
        <w:t>protect public health and the environment by supplying clean drinking water, collecting and treating wastewater, and reducing air, noise, and hazardous materials pollution.</w:t>
      </w:r>
      <w:r w:rsidRPr="00FB16A0">
        <w:rPr>
          <w:rFonts w:ascii="Times New Roman" w:hAnsi="Times New Roman" w:cs="Times New Roman"/>
          <w:sz w:val="24"/>
          <w:szCs w:val="24"/>
        </w:rPr>
        <w:t xml:space="preserve"> Among DEP’s duties is to manage and conserve the City’s water supply, including water and sewer bills.</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 xml:space="preserve">DOF – </w:t>
      </w:r>
      <w:r w:rsidRPr="00FB16A0">
        <w:rPr>
          <w:rFonts w:ascii="Times New Roman" w:hAnsi="Times New Roman" w:cs="Times New Roman"/>
          <w:sz w:val="24"/>
          <w:szCs w:val="24"/>
        </w:rPr>
        <w:t>The New York City Department of Finance, whose mission statement is to administer the tax and revenue laws of the City fairly, efficiently and transparently to instill public confidence and encourage compliance while providing exceptional customer service.</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 xml:space="preserve">DOT – </w:t>
      </w:r>
      <w:r w:rsidRPr="00FB16A0">
        <w:rPr>
          <w:rFonts w:ascii="Times New Roman" w:hAnsi="Times New Roman" w:cs="Times New Roman"/>
          <w:sz w:val="24"/>
          <w:szCs w:val="24"/>
        </w:rPr>
        <w:t xml:space="preserve">The New York City Department of Transportation, whose mission is </w:t>
      </w:r>
      <w:r w:rsidRPr="00FB16A0">
        <w:rPr>
          <w:rStyle w:val="apple-converted-space"/>
          <w:rFonts w:ascii="Times New Roman" w:hAnsi="Times New Roman" w:cs="Times New Roman"/>
          <w:sz w:val="24"/>
          <w:szCs w:val="24"/>
          <w:shd w:val="clear" w:color="auto" w:fill="FFFFFF"/>
        </w:rPr>
        <w:t xml:space="preserve">to </w:t>
      </w:r>
      <w:r w:rsidRPr="00FB16A0">
        <w:rPr>
          <w:rFonts w:ascii="Times New Roman" w:hAnsi="Times New Roman" w:cs="Times New Roman"/>
          <w:sz w:val="24"/>
          <w:szCs w:val="24"/>
          <w:shd w:val="clear" w:color="auto" w:fill="FFFFFF"/>
        </w:rPr>
        <w:t>provide for the safe, efficient, and environmentally responsible movement of people and goods in the City of New York and to maintain and enhance the transportation infrastructure crucial to the economic vitality and quality of life of our primary customers, City residents.</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DRIE (Disability Rent Increase Exemption) –</w:t>
      </w:r>
      <w:r w:rsidRPr="00FB16A0">
        <w:rPr>
          <w:rFonts w:ascii="Times New Roman" w:hAnsi="Times New Roman" w:cs="Times New Roman"/>
          <w:sz w:val="24"/>
          <w:szCs w:val="24"/>
        </w:rPr>
        <w:t xml:space="preserve"> A City program beginning in 2005 offering lower-income disabled adult tenants living on rent-regulated properties an exemption from future rent increases.</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Due Date</w:t>
      </w:r>
      <w:r w:rsidRPr="00FB16A0">
        <w:rPr>
          <w:rFonts w:ascii="Times New Roman" w:hAnsi="Times New Roman" w:cs="Times New Roman"/>
          <w:sz w:val="24"/>
          <w:szCs w:val="24"/>
        </w:rPr>
        <w:t xml:space="preserve"> – The Date on which an obligation must be satisfied.</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Effective Market Value</w:t>
      </w:r>
      <w:r w:rsidRPr="00FB16A0">
        <w:rPr>
          <w:rFonts w:ascii="Times New Roman" w:hAnsi="Times New Roman" w:cs="Times New Roman"/>
          <w:sz w:val="24"/>
          <w:szCs w:val="24"/>
        </w:rPr>
        <w:t xml:space="preserve"> </w:t>
      </w:r>
      <w:r w:rsidRPr="00FB16A0">
        <w:rPr>
          <w:rFonts w:ascii="Times New Roman" w:hAnsi="Times New Roman" w:cs="Times New Roman"/>
          <w:b/>
          <w:sz w:val="24"/>
          <w:szCs w:val="24"/>
        </w:rPr>
        <w:t>(EMV)</w:t>
      </w:r>
      <w:r w:rsidRPr="00FB16A0">
        <w:rPr>
          <w:rFonts w:ascii="Times New Roman" w:hAnsi="Times New Roman" w:cs="Times New Roman"/>
          <w:sz w:val="24"/>
          <w:szCs w:val="24"/>
        </w:rPr>
        <w:t xml:space="preserve"> – A theoretical value used in Class 1, and Class 2A, 2B, and 2C properties, calculated by dividing the assessed value by the assessment ratio. It is, in effect, what the market value of the property would be were it subject to the same caps as assessed value.</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 xml:space="preserve">Equalization </w:t>
      </w:r>
      <w:r w:rsidRPr="00FB16A0">
        <w:rPr>
          <w:rFonts w:ascii="Times New Roman" w:hAnsi="Times New Roman" w:cs="Times New Roman"/>
          <w:sz w:val="24"/>
          <w:szCs w:val="24"/>
        </w:rPr>
        <w:t>– Changes in assessed value made by a taxing jurisdiction to ensure that all properties (or all properties within a tax class, is applicable) are assessed at the same percentage of market value.</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Exemption</w:t>
      </w:r>
      <w:r w:rsidRPr="00FB16A0">
        <w:rPr>
          <w:rFonts w:ascii="Times New Roman" w:hAnsi="Times New Roman" w:cs="Times New Roman"/>
          <w:sz w:val="24"/>
          <w:szCs w:val="24"/>
        </w:rPr>
        <w:t xml:space="preserve"> – A provision of law that reduces taxable value or income.</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Exempt Value</w:t>
      </w:r>
      <w:r w:rsidRPr="00FB16A0">
        <w:rPr>
          <w:rFonts w:ascii="Times New Roman" w:hAnsi="Times New Roman" w:cs="Times New Roman"/>
          <w:sz w:val="24"/>
          <w:szCs w:val="24"/>
        </w:rPr>
        <w:t xml:space="preserve"> – The amount or percentage of assessed value that is not subject to taxation. Property may be fully exempt or partially exempt; in the case of Veterans Exemptions, the exempt amount is taxable for education purposes.</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 xml:space="preserve">FAIRTAX </w:t>
      </w:r>
      <w:r w:rsidRPr="00FB16A0">
        <w:rPr>
          <w:rFonts w:ascii="Times New Roman" w:hAnsi="Times New Roman" w:cs="Times New Roman"/>
          <w:sz w:val="24"/>
          <w:szCs w:val="24"/>
        </w:rPr>
        <w:t>– Financial system for business taxes, property taxes, and property-related charges. Currently is only used for property taxes and charges, since business tax data was converted into BTS. Property data is scheduled to be converted later in 2017.</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lastRenderedPageBreak/>
        <w:t>Fiscal Year</w:t>
      </w:r>
      <w:r w:rsidRPr="00FB16A0">
        <w:rPr>
          <w:rFonts w:ascii="Times New Roman" w:hAnsi="Times New Roman" w:cs="Times New Roman"/>
          <w:sz w:val="24"/>
          <w:szCs w:val="24"/>
        </w:rPr>
        <w:t xml:space="preserve"> – A 12-month period used for financial reporting. They City’s fiscal year runs from July 1 to June 30.</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 xml:space="preserve">Grace Period </w:t>
      </w:r>
      <w:r w:rsidRPr="00FB16A0">
        <w:rPr>
          <w:rFonts w:ascii="Times New Roman" w:hAnsi="Times New Roman" w:cs="Times New Roman"/>
          <w:sz w:val="24"/>
          <w:szCs w:val="24"/>
        </w:rPr>
        <w:t>– The period of time, beyond the due date, in which payment may be made without incurring a penalty.</w:t>
      </w:r>
    </w:p>
    <w:p w:rsidR="00404820" w:rsidRPr="00FB16A0" w:rsidRDefault="00404820" w:rsidP="00404820">
      <w:r w:rsidRPr="00FB16A0">
        <w:rPr>
          <w:rFonts w:ascii="Times New Roman" w:hAnsi="Times New Roman" w:cs="Times New Roman"/>
          <w:b/>
          <w:sz w:val="24"/>
          <w:szCs w:val="24"/>
        </w:rPr>
        <w:t>HPD –</w:t>
      </w:r>
      <w:r w:rsidRPr="00FB16A0">
        <w:rPr>
          <w:rFonts w:ascii="Times New Roman" w:hAnsi="Times New Roman" w:cs="Times New Roman"/>
          <w:sz w:val="24"/>
          <w:szCs w:val="24"/>
        </w:rPr>
        <w:t xml:space="preserve"> Established in 1978, the New York City Department of Housing Preservation and Development’s mission is to promote the construction and preservation of affordable, high-quality housing for low- and moderate-income families in thriving and diverse neighborhoods in every borough by enforcing h</w:t>
      </w:r>
      <w:r w:rsidRPr="00FB16A0">
        <w:rPr>
          <w:rFonts w:ascii="Times New Roman" w:hAnsi="Times New Roman" w:cs="Times New Roman"/>
          <w:sz w:val="24"/>
          <w:szCs w:val="24"/>
          <w:shd w:val="clear" w:color="auto" w:fill="FFFFFF"/>
        </w:rPr>
        <w:t>ousing quality standards, financing affordable housing development and preservation, and ensuring sound management of the City's affordable housing stock</w:t>
      </w:r>
      <w:r w:rsidRPr="00FB16A0">
        <w:rPr>
          <w:rFonts w:ascii="Times New Roman" w:hAnsi="Times New Roman" w:cs="Times New Roman"/>
          <w:sz w:val="24"/>
          <w:szCs w:val="24"/>
        </w:rPr>
        <w:t>.</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Levy</w:t>
      </w:r>
      <w:r w:rsidRPr="00FB16A0">
        <w:rPr>
          <w:rFonts w:ascii="Times New Roman" w:hAnsi="Times New Roman" w:cs="Times New Roman"/>
          <w:sz w:val="24"/>
          <w:szCs w:val="24"/>
        </w:rPr>
        <w:t xml:space="preserve"> – An assessment of tax.</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Liability</w:t>
      </w:r>
      <w:r w:rsidRPr="00FB16A0">
        <w:rPr>
          <w:rFonts w:ascii="Times New Roman" w:hAnsi="Times New Roman" w:cs="Times New Roman"/>
          <w:sz w:val="24"/>
          <w:szCs w:val="24"/>
        </w:rPr>
        <w:t xml:space="preserve"> – A debt or financial obligation.</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Market Value</w:t>
      </w:r>
      <w:r w:rsidRPr="00FB16A0">
        <w:rPr>
          <w:rFonts w:ascii="Times New Roman" w:hAnsi="Times New Roman" w:cs="Times New Roman"/>
          <w:sz w:val="24"/>
          <w:szCs w:val="24"/>
        </w:rPr>
        <w:t xml:space="preserve"> </w:t>
      </w:r>
      <w:r w:rsidRPr="00FB16A0">
        <w:rPr>
          <w:rFonts w:ascii="Times New Roman" w:hAnsi="Times New Roman" w:cs="Times New Roman"/>
          <w:b/>
          <w:sz w:val="24"/>
          <w:szCs w:val="24"/>
        </w:rPr>
        <w:t>(MV) –</w:t>
      </w:r>
      <w:r w:rsidRPr="00FB16A0">
        <w:rPr>
          <w:rFonts w:ascii="Times New Roman" w:hAnsi="Times New Roman" w:cs="Times New Roman"/>
          <w:sz w:val="24"/>
          <w:szCs w:val="24"/>
        </w:rPr>
        <w:t xml:space="preserve"> The most probable price that a property should command in a competitive and open market. This definition also requires that the buyer and seller should be willing but not compelled to act.</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 xml:space="preserve">Multi-family Housing </w:t>
      </w:r>
      <w:r w:rsidRPr="00FB16A0">
        <w:rPr>
          <w:rFonts w:ascii="Times New Roman" w:hAnsi="Times New Roman" w:cs="Times New Roman"/>
          <w:sz w:val="24"/>
          <w:szCs w:val="24"/>
        </w:rPr>
        <w:t>– A residential structure with more than one dwelling unit.</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Notice of Property Value (NOPV)</w:t>
      </w:r>
      <w:r w:rsidRPr="00FB16A0">
        <w:rPr>
          <w:rFonts w:ascii="Times New Roman" w:hAnsi="Times New Roman" w:cs="Times New Roman"/>
          <w:sz w:val="24"/>
          <w:szCs w:val="24"/>
        </w:rPr>
        <w:t xml:space="preserve"> –This notice has information about a property’s market and assessed values. The DOF determines property value every year, according to New York State law. The </w:t>
      </w:r>
      <w:r w:rsidR="00833001" w:rsidRPr="00FB16A0">
        <w:rPr>
          <w:rFonts w:ascii="Times New Roman" w:hAnsi="Times New Roman" w:cs="Times New Roman"/>
          <w:sz w:val="24"/>
          <w:szCs w:val="24"/>
        </w:rPr>
        <w:t>City’s</w:t>
      </w:r>
      <w:r w:rsidRPr="00FB16A0">
        <w:rPr>
          <w:rFonts w:ascii="Times New Roman" w:hAnsi="Times New Roman" w:cs="Times New Roman"/>
          <w:sz w:val="24"/>
          <w:szCs w:val="24"/>
        </w:rPr>
        <w:t xml:space="preserve"> property tax rates are applied to the assessed value to calculate property taxes for the next tax year.</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Office of the Taxpayer Advocate</w:t>
      </w:r>
      <w:r w:rsidRPr="00FB16A0">
        <w:rPr>
          <w:rFonts w:ascii="Times New Roman" w:hAnsi="Times New Roman" w:cs="Times New Roman"/>
          <w:sz w:val="24"/>
          <w:szCs w:val="24"/>
        </w:rPr>
        <w:t xml:space="preserve"> </w:t>
      </w:r>
      <w:r w:rsidRPr="00FB16A0">
        <w:rPr>
          <w:rFonts w:ascii="Times New Roman" w:hAnsi="Times New Roman" w:cs="Times New Roman"/>
          <w:b/>
          <w:sz w:val="24"/>
          <w:szCs w:val="24"/>
        </w:rPr>
        <w:t>(OTA)</w:t>
      </w:r>
      <w:r w:rsidRPr="00FB16A0">
        <w:rPr>
          <w:rFonts w:ascii="Times New Roman" w:hAnsi="Times New Roman" w:cs="Times New Roman"/>
          <w:sz w:val="24"/>
          <w:szCs w:val="24"/>
        </w:rPr>
        <w:t xml:space="preserve"> – Created by the Commissioner of Finance in 2015, OTA is an independent office that helps City taxpayers solve property, business, and excise tax issues after a taxpayer has tried to fix them through the DOF’s normal channels. OTA also recommends policy changes or can request that DOF take action on behalf of City taxpayers.</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 xml:space="preserve">Operations Assistance Request (OAR) </w:t>
      </w:r>
      <w:r w:rsidRPr="00FB16A0">
        <w:rPr>
          <w:rFonts w:ascii="Times New Roman" w:hAnsi="Times New Roman" w:cs="Times New Roman"/>
          <w:sz w:val="24"/>
          <w:szCs w:val="24"/>
        </w:rPr>
        <w:t>– Form OTA-0924. A formal request for assistance from a DOF unit/function to complete an action on a case sent by the Office of the Taxpayer Advocate when the Taxpayer Advocate does not have the authority to take the required actions. The OAR provides a written trail of requests to a unit or function and its responses to OAR.</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 xml:space="preserve">Parcel – </w:t>
      </w:r>
      <w:r w:rsidRPr="00FB16A0">
        <w:rPr>
          <w:rFonts w:ascii="Times New Roman" w:hAnsi="Times New Roman" w:cs="Times New Roman"/>
          <w:sz w:val="24"/>
          <w:szCs w:val="24"/>
        </w:rPr>
        <w:t>A piece of land under ownership.</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PEOPS (Personal Exemptions Operating System)</w:t>
      </w:r>
      <w:r w:rsidRPr="00FB16A0">
        <w:rPr>
          <w:rFonts w:ascii="Times New Roman" w:hAnsi="Times New Roman" w:cs="Times New Roman"/>
          <w:sz w:val="24"/>
          <w:szCs w:val="24"/>
        </w:rPr>
        <w:t xml:space="preserve"> – Vendor-hosted system of all personal exemptions for real property.</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PTS (Property Tax System)</w:t>
      </w:r>
      <w:r w:rsidRPr="00FB16A0">
        <w:rPr>
          <w:rFonts w:ascii="Times New Roman" w:hAnsi="Times New Roman" w:cs="Times New Roman"/>
          <w:sz w:val="24"/>
          <w:szCs w:val="24"/>
        </w:rPr>
        <w:t xml:space="preserve"> – The proposed new system to store property tax data, scheduled to go live later in 2017.</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lastRenderedPageBreak/>
        <w:t>Request for Review</w:t>
      </w:r>
      <w:r w:rsidRPr="00FB16A0">
        <w:rPr>
          <w:rFonts w:ascii="Times New Roman" w:hAnsi="Times New Roman" w:cs="Times New Roman"/>
          <w:sz w:val="24"/>
          <w:szCs w:val="24"/>
        </w:rPr>
        <w:t xml:space="preserve"> </w:t>
      </w:r>
      <w:r w:rsidRPr="00FB16A0">
        <w:rPr>
          <w:rFonts w:ascii="Times New Roman" w:hAnsi="Times New Roman" w:cs="Times New Roman"/>
          <w:b/>
          <w:sz w:val="24"/>
          <w:szCs w:val="24"/>
        </w:rPr>
        <w:t xml:space="preserve">(RFR) </w:t>
      </w:r>
      <w:r w:rsidRPr="00FB16A0">
        <w:rPr>
          <w:rFonts w:ascii="Times New Roman" w:hAnsi="Times New Roman" w:cs="Times New Roman"/>
          <w:sz w:val="24"/>
          <w:szCs w:val="24"/>
        </w:rPr>
        <w:t>– A form enabling City property owners to provide supporting information to review your property's estimated market value or building classification. DOF may increase, decrease, or make no change to the property’s market value or classification; there are no appeals to the DOF on RFR decisions.</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Request to Update (RTU)</w:t>
      </w:r>
      <w:r w:rsidRPr="00FB16A0">
        <w:rPr>
          <w:rFonts w:ascii="Times New Roman" w:hAnsi="Times New Roman" w:cs="Times New Roman"/>
          <w:sz w:val="24"/>
          <w:szCs w:val="24"/>
        </w:rPr>
        <w:t xml:space="preserve"> – A form enabling City property owners to request an update of the descriptive data contained on the annual NOPV.</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 xml:space="preserve">RES/PASS </w:t>
      </w:r>
      <w:r w:rsidRPr="00FB16A0">
        <w:rPr>
          <w:rFonts w:ascii="Times New Roman" w:hAnsi="Times New Roman" w:cs="Times New Roman"/>
          <w:sz w:val="24"/>
          <w:szCs w:val="24"/>
        </w:rPr>
        <w:t>– Revenue Enhancement System (RES) is a set of databased used by Audit, OTP, Sherriff, Collections, and Property. The majority of the data pertain to business and property tax. These databases’ main purpose is to support the Professional Audit Support System (PASS). As of 2017, much the data contained in these systems have been converted to BTS.</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RIE (Rent Increase Exemptions)</w:t>
      </w:r>
      <w:r w:rsidRPr="00FB16A0">
        <w:rPr>
          <w:rFonts w:ascii="Times New Roman" w:hAnsi="Times New Roman" w:cs="Times New Roman"/>
          <w:sz w:val="24"/>
          <w:szCs w:val="24"/>
        </w:rPr>
        <w:t xml:space="preserve"> – Database of all tenants who are in a rent-increase exemption program (e.g. SCRIE/DRIE).</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RPAD (Real Property Assessment Data)</w:t>
      </w:r>
      <w:r w:rsidRPr="00FB16A0">
        <w:rPr>
          <w:rFonts w:ascii="Times New Roman" w:hAnsi="Times New Roman" w:cs="Times New Roman"/>
          <w:sz w:val="24"/>
          <w:szCs w:val="24"/>
        </w:rPr>
        <w:t xml:space="preserve"> – Property data system. Holds all property related information, including lot size, assessed value, etc.</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RPIE (Real Property Income &amp; Expense)</w:t>
      </w:r>
      <w:r w:rsidRPr="00FB16A0">
        <w:rPr>
          <w:rFonts w:ascii="Times New Roman" w:hAnsi="Times New Roman" w:cs="Times New Roman"/>
          <w:sz w:val="24"/>
          <w:szCs w:val="24"/>
        </w:rPr>
        <w:t xml:space="preserve"> –An annual taxpayer-filed statement used by DOF to determine value and property tax for certain income-producing properties.</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SCRIE (Senior Citizen Rent Increase Exemption) –</w:t>
      </w:r>
      <w:r w:rsidRPr="00FB16A0">
        <w:rPr>
          <w:rFonts w:ascii="Times New Roman" w:hAnsi="Times New Roman" w:cs="Times New Roman"/>
          <w:sz w:val="24"/>
          <w:szCs w:val="24"/>
        </w:rPr>
        <w:t xml:space="preserve"> A City program beginning in 1970 offering lower-income senior citizens living on rent-regulated properties an exemption from future rent increases.</w:t>
      </w:r>
    </w:p>
    <w:p w:rsidR="00404820" w:rsidRPr="00FB16A0" w:rsidRDefault="00404820" w:rsidP="00404820">
      <w:pPr>
        <w:spacing w:after="0"/>
        <w:rPr>
          <w:rFonts w:ascii="Times New Roman" w:hAnsi="Times New Roman" w:cs="Times New Roman"/>
          <w:sz w:val="24"/>
          <w:szCs w:val="24"/>
        </w:rPr>
      </w:pPr>
      <w:r w:rsidRPr="00FB16A0">
        <w:rPr>
          <w:rFonts w:ascii="Times New Roman" w:hAnsi="Times New Roman" w:cs="Times New Roman"/>
          <w:b/>
          <w:sz w:val="24"/>
          <w:szCs w:val="24"/>
        </w:rPr>
        <w:t>Tax Class</w:t>
      </w:r>
      <w:r w:rsidRPr="00FB16A0">
        <w:rPr>
          <w:rFonts w:ascii="Times New Roman" w:hAnsi="Times New Roman" w:cs="Times New Roman"/>
          <w:sz w:val="24"/>
          <w:szCs w:val="24"/>
        </w:rPr>
        <w:t xml:space="preserve"> – Property in NYC is divided into 4 classes:</w:t>
      </w:r>
    </w:p>
    <w:p w:rsidR="00404820" w:rsidRPr="00FB16A0" w:rsidRDefault="00404820" w:rsidP="00A57DB7">
      <w:pPr>
        <w:pStyle w:val="ListParagraph"/>
        <w:numPr>
          <w:ilvl w:val="0"/>
          <w:numId w:val="5"/>
        </w:numPr>
        <w:rPr>
          <w:rFonts w:ascii="Times New Roman" w:hAnsi="Times New Roman" w:cs="Times New Roman"/>
          <w:sz w:val="24"/>
          <w:szCs w:val="24"/>
        </w:rPr>
      </w:pPr>
      <w:r w:rsidRPr="00FB16A0">
        <w:rPr>
          <w:rFonts w:ascii="Times New Roman" w:hAnsi="Times New Roman" w:cs="Times New Roman"/>
          <w:i/>
          <w:sz w:val="24"/>
          <w:szCs w:val="24"/>
        </w:rPr>
        <w:t>Class 1</w:t>
      </w:r>
      <w:r w:rsidRPr="00FB16A0">
        <w:rPr>
          <w:rFonts w:ascii="Times New Roman" w:hAnsi="Times New Roman" w:cs="Times New Roman"/>
          <w:sz w:val="24"/>
          <w:szCs w:val="24"/>
        </w:rPr>
        <w:t xml:space="preserve"> – Most residential property of up to three units (family homes and small stores or offices with one or two apartments attached), and most condominiums that are not more than three stories.</w:t>
      </w:r>
    </w:p>
    <w:p w:rsidR="00404820" w:rsidRPr="00FB16A0" w:rsidRDefault="00404820" w:rsidP="00A57DB7">
      <w:pPr>
        <w:pStyle w:val="ListParagraph"/>
        <w:numPr>
          <w:ilvl w:val="0"/>
          <w:numId w:val="5"/>
        </w:numPr>
        <w:rPr>
          <w:rFonts w:ascii="Times New Roman" w:hAnsi="Times New Roman" w:cs="Times New Roman"/>
          <w:sz w:val="24"/>
          <w:szCs w:val="24"/>
        </w:rPr>
      </w:pPr>
      <w:r w:rsidRPr="00FB16A0">
        <w:rPr>
          <w:rFonts w:ascii="Times New Roman" w:hAnsi="Times New Roman" w:cs="Times New Roman"/>
          <w:i/>
          <w:sz w:val="24"/>
          <w:szCs w:val="24"/>
        </w:rPr>
        <w:t>Class 2</w:t>
      </w:r>
      <w:r w:rsidRPr="00FB16A0">
        <w:rPr>
          <w:rFonts w:ascii="Times New Roman" w:hAnsi="Times New Roman" w:cs="Times New Roman"/>
          <w:sz w:val="24"/>
          <w:szCs w:val="24"/>
        </w:rPr>
        <w:t xml:space="preserve"> – All other property that is not Class 1 and is primary residential (rentals, cooperatives, and condominiums). It includes Sub-Class 2A (4-6 unit rental building); Sub-Class 2B (7-10 unit rental building); Sub-Class 2C (2-10 unit cooperative or condominium); and Class 2 (11 units or more).</w:t>
      </w:r>
    </w:p>
    <w:p w:rsidR="00404820" w:rsidRPr="00FB16A0" w:rsidRDefault="00404820" w:rsidP="00A57DB7">
      <w:pPr>
        <w:pStyle w:val="ListParagraph"/>
        <w:numPr>
          <w:ilvl w:val="0"/>
          <w:numId w:val="5"/>
        </w:numPr>
        <w:rPr>
          <w:rFonts w:ascii="Times New Roman" w:hAnsi="Times New Roman" w:cs="Times New Roman"/>
          <w:sz w:val="24"/>
          <w:szCs w:val="24"/>
        </w:rPr>
      </w:pPr>
      <w:r w:rsidRPr="00FB16A0">
        <w:rPr>
          <w:rFonts w:ascii="Times New Roman" w:hAnsi="Times New Roman" w:cs="Times New Roman"/>
          <w:i/>
          <w:sz w:val="24"/>
          <w:szCs w:val="24"/>
        </w:rPr>
        <w:t>Class 3</w:t>
      </w:r>
      <w:r w:rsidRPr="00FB16A0">
        <w:rPr>
          <w:rFonts w:ascii="Times New Roman" w:hAnsi="Times New Roman" w:cs="Times New Roman"/>
          <w:sz w:val="24"/>
          <w:szCs w:val="24"/>
        </w:rPr>
        <w:t xml:space="preserve"> – Mostly utility property.</w:t>
      </w:r>
    </w:p>
    <w:p w:rsidR="00404820" w:rsidRPr="00FB16A0" w:rsidRDefault="00404820" w:rsidP="00A57DB7">
      <w:pPr>
        <w:pStyle w:val="ListParagraph"/>
        <w:numPr>
          <w:ilvl w:val="0"/>
          <w:numId w:val="5"/>
        </w:numPr>
        <w:rPr>
          <w:rFonts w:ascii="Times New Roman" w:hAnsi="Times New Roman" w:cs="Times New Roman"/>
          <w:sz w:val="24"/>
          <w:szCs w:val="24"/>
        </w:rPr>
      </w:pPr>
      <w:r w:rsidRPr="00FB16A0">
        <w:rPr>
          <w:rFonts w:ascii="Times New Roman" w:hAnsi="Times New Roman" w:cs="Times New Roman"/>
          <w:i/>
          <w:sz w:val="24"/>
          <w:szCs w:val="24"/>
        </w:rPr>
        <w:t>Class 4</w:t>
      </w:r>
      <w:r w:rsidRPr="00FB16A0">
        <w:rPr>
          <w:rFonts w:ascii="Times New Roman" w:hAnsi="Times New Roman" w:cs="Times New Roman"/>
          <w:sz w:val="24"/>
          <w:szCs w:val="24"/>
        </w:rPr>
        <w:t xml:space="preserve"> – All commercial and industrial properties, such as office, retail, factory buildings, and all other properties not included in tax classes 1, 2, or 3.</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 xml:space="preserve">Tax Rate </w:t>
      </w:r>
      <w:r w:rsidRPr="00FB16A0">
        <w:rPr>
          <w:rFonts w:ascii="Times New Roman" w:hAnsi="Times New Roman" w:cs="Times New Roman"/>
          <w:sz w:val="24"/>
          <w:szCs w:val="24"/>
        </w:rPr>
        <w:t>– The amount, usually expressed in dollars per hundred of assessed value, applied to the tax base to determine tax liability. In New York City, a tax rate is established for each tax class.</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Taxable Status Date</w:t>
      </w:r>
      <w:r w:rsidRPr="00FB16A0">
        <w:rPr>
          <w:rFonts w:ascii="Times New Roman" w:hAnsi="Times New Roman" w:cs="Times New Roman"/>
          <w:sz w:val="24"/>
          <w:szCs w:val="24"/>
        </w:rPr>
        <w:t xml:space="preserve"> – The date on which the assessed value, taxable status and, if applicable, tax class are fixed for all properties in a taxing jurisdiction.</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lastRenderedPageBreak/>
        <w:t>Taxable Value</w:t>
      </w:r>
      <w:r w:rsidRPr="00FB16A0">
        <w:rPr>
          <w:rFonts w:ascii="Times New Roman" w:hAnsi="Times New Roman" w:cs="Times New Roman"/>
          <w:sz w:val="24"/>
          <w:szCs w:val="24"/>
        </w:rPr>
        <w:t xml:space="preserve"> – Assessed Value minus any Exemptions—or, what is used to calculate the annual tax bill.</w:t>
      </w:r>
    </w:p>
    <w:p w:rsidR="00404820" w:rsidRPr="00FB16A0" w:rsidRDefault="00404820" w:rsidP="00404820">
      <w:pPr>
        <w:rPr>
          <w:rFonts w:ascii="Times New Roman" w:hAnsi="Times New Roman" w:cs="Times New Roman"/>
          <w:sz w:val="24"/>
          <w:szCs w:val="24"/>
        </w:rPr>
      </w:pPr>
      <w:r w:rsidRPr="00FB16A0">
        <w:rPr>
          <w:rFonts w:ascii="Times New Roman" w:hAnsi="Times New Roman" w:cs="Times New Roman"/>
          <w:b/>
          <w:sz w:val="24"/>
          <w:szCs w:val="24"/>
        </w:rPr>
        <w:t>Taxpayer Assistance Order (TAO)</w:t>
      </w:r>
      <w:r w:rsidRPr="00FB16A0">
        <w:rPr>
          <w:rFonts w:ascii="Times New Roman" w:hAnsi="Times New Roman" w:cs="Times New Roman"/>
          <w:sz w:val="24"/>
          <w:szCs w:val="24"/>
        </w:rPr>
        <w:t xml:space="preserve"> – A means by which the Taxpayer Advocate can recommend proposed action to the Commissioner of Finance in cases where the law supports relief from significant hardship, or a unit/function to which the Office of the Taxpayer Advocate issued an OAR declined to take the proposed action. </w:t>
      </w:r>
    </w:p>
    <w:p w:rsidR="00AE13CD" w:rsidRPr="00FB16A0" w:rsidRDefault="00404820" w:rsidP="00FA307A">
      <w:pPr>
        <w:rPr>
          <w:rFonts w:ascii="Times New Roman" w:hAnsi="Times New Roman" w:cs="Times New Roman"/>
          <w:sz w:val="24"/>
          <w:szCs w:val="24"/>
          <w:u w:val="single"/>
        </w:rPr>
      </w:pPr>
      <w:r w:rsidRPr="00FB16A0">
        <w:rPr>
          <w:rFonts w:ascii="Times New Roman" w:hAnsi="Times New Roman" w:cs="Times New Roman"/>
          <w:b/>
          <w:sz w:val="24"/>
          <w:szCs w:val="24"/>
        </w:rPr>
        <w:t xml:space="preserve">Transitional Assessed Value </w:t>
      </w:r>
      <w:r w:rsidRPr="00FB16A0">
        <w:rPr>
          <w:rFonts w:ascii="Times New Roman" w:hAnsi="Times New Roman" w:cs="Times New Roman"/>
          <w:sz w:val="24"/>
          <w:szCs w:val="24"/>
        </w:rPr>
        <w:t>– The assessed value, during the five-year phase-in of equalization changes, of all Class 4 properties and cooperatives, condominiums, and rental buildings with more than 10 units in Class 2.</w:t>
      </w:r>
    </w:p>
    <w:sectPr w:rsidR="00AE13CD" w:rsidRPr="00FB16A0" w:rsidSect="00E62E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E6A" w:rsidRDefault="00DD2E6A" w:rsidP="00E62E20">
      <w:pPr>
        <w:spacing w:after="0" w:line="240" w:lineRule="auto"/>
      </w:pPr>
      <w:r>
        <w:separator/>
      </w:r>
    </w:p>
  </w:endnote>
  <w:endnote w:type="continuationSeparator" w:id="0">
    <w:p w:rsidR="00DD2E6A" w:rsidRDefault="00DD2E6A" w:rsidP="00E62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EC" w:rsidRPr="00B21D40" w:rsidRDefault="001411EC">
    <w:pPr>
      <w:pStyle w:val="Footer"/>
      <w:jc w:val="right"/>
      <w:rPr>
        <w:rFonts w:ascii="Times New Roman" w:hAnsi="Times New Roman" w:cs="Times New Roman"/>
        <w:sz w:val="24"/>
        <w:szCs w:val="24"/>
      </w:rPr>
    </w:pPr>
  </w:p>
  <w:p w:rsidR="001411EC" w:rsidRDefault="00141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261624"/>
      <w:docPartObj>
        <w:docPartGallery w:val="Page Numbers (Bottom of Page)"/>
        <w:docPartUnique/>
      </w:docPartObj>
    </w:sdtPr>
    <w:sdtEndPr>
      <w:rPr>
        <w:rFonts w:ascii="Times New Roman" w:hAnsi="Times New Roman" w:cs="Times New Roman"/>
        <w:noProof/>
        <w:sz w:val="24"/>
        <w:szCs w:val="24"/>
      </w:rPr>
    </w:sdtEndPr>
    <w:sdtContent>
      <w:p w:rsidR="001411EC" w:rsidRPr="00B21D40" w:rsidRDefault="001411EC">
        <w:pPr>
          <w:pStyle w:val="Footer"/>
          <w:jc w:val="right"/>
          <w:rPr>
            <w:rFonts w:ascii="Times New Roman" w:hAnsi="Times New Roman" w:cs="Times New Roman"/>
            <w:sz w:val="24"/>
            <w:szCs w:val="24"/>
          </w:rPr>
        </w:pPr>
        <w:r w:rsidRPr="00B21D40">
          <w:rPr>
            <w:rFonts w:ascii="Times New Roman" w:hAnsi="Times New Roman" w:cs="Times New Roman"/>
            <w:sz w:val="24"/>
            <w:szCs w:val="24"/>
          </w:rPr>
          <w:fldChar w:fldCharType="begin"/>
        </w:r>
        <w:r w:rsidRPr="00B21D40">
          <w:rPr>
            <w:rFonts w:ascii="Times New Roman" w:hAnsi="Times New Roman" w:cs="Times New Roman"/>
            <w:sz w:val="24"/>
            <w:szCs w:val="24"/>
          </w:rPr>
          <w:instrText xml:space="preserve"> PAGE   \* MERGEFORMAT </w:instrText>
        </w:r>
        <w:r w:rsidRPr="00B21D40">
          <w:rPr>
            <w:rFonts w:ascii="Times New Roman" w:hAnsi="Times New Roman" w:cs="Times New Roman"/>
            <w:sz w:val="24"/>
            <w:szCs w:val="24"/>
          </w:rPr>
          <w:fldChar w:fldCharType="separate"/>
        </w:r>
        <w:r w:rsidR="00DD7111">
          <w:rPr>
            <w:rFonts w:ascii="Times New Roman" w:hAnsi="Times New Roman" w:cs="Times New Roman"/>
            <w:noProof/>
            <w:sz w:val="24"/>
            <w:szCs w:val="24"/>
          </w:rPr>
          <w:t>2</w:t>
        </w:r>
        <w:r w:rsidRPr="00B21D40">
          <w:rPr>
            <w:rFonts w:ascii="Times New Roman" w:hAnsi="Times New Roman" w:cs="Times New Roman"/>
            <w:noProof/>
            <w:sz w:val="24"/>
            <w:szCs w:val="24"/>
          </w:rPr>
          <w:fldChar w:fldCharType="end"/>
        </w:r>
      </w:p>
    </w:sdtContent>
  </w:sdt>
  <w:p w:rsidR="001411EC" w:rsidRDefault="001411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EC" w:rsidRDefault="001411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65089"/>
      <w:docPartObj>
        <w:docPartGallery w:val="Page Numbers (Bottom of Page)"/>
        <w:docPartUnique/>
      </w:docPartObj>
    </w:sdtPr>
    <w:sdtEndPr>
      <w:rPr>
        <w:rFonts w:ascii="Times New Roman" w:hAnsi="Times New Roman" w:cs="Times New Roman"/>
        <w:noProof/>
        <w:sz w:val="24"/>
        <w:szCs w:val="24"/>
      </w:rPr>
    </w:sdtEndPr>
    <w:sdtContent>
      <w:p w:rsidR="001411EC" w:rsidRPr="00B21D40" w:rsidRDefault="001411EC">
        <w:pPr>
          <w:pStyle w:val="Footer"/>
          <w:jc w:val="right"/>
          <w:rPr>
            <w:rFonts w:ascii="Times New Roman" w:hAnsi="Times New Roman" w:cs="Times New Roman"/>
            <w:sz w:val="24"/>
            <w:szCs w:val="24"/>
          </w:rPr>
        </w:pPr>
        <w:r w:rsidRPr="00B21D40">
          <w:rPr>
            <w:rFonts w:ascii="Times New Roman" w:hAnsi="Times New Roman" w:cs="Times New Roman"/>
            <w:sz w:val="24"/>
            <w:szCs w:val="24"/>
          </w:rPr>
          <w:fldChar w:fldCharType="begin"/>
        </w:r>
        <w:r w:rsidRPr="00B21D40">
          <w:rPr>
            <w:rFonts w:ascii="Times New Roman" w:hAnsi="Times New Roman" w:cs="Times New Roman"/>
            <w:sz w:val="24"/>
            <w:szCs w:val="24"/>
          </w:rPr>
          <w:instrText xml:space="preserve"> PAGE   \* MERGEFORMAT </w:instrText>
        </w:r>
        <w:r w:rsidRPr="00B21D40">
          <w:rPr>
            <w:rFonts w:ascii="Times New Roman" w:hAnsi="Times New Roman" w:cs="Times New Roman"/>
            <w:sz w:val="24"/>
            <w:szCs w:val="24"/>
          </w:rPr>
          <w:fldChar w:fldCharType="separate"/>
        </w:r>
        <w:r w:rsidR="00DD7111">
          <w:rPr>
            <w:rFonts w:ascii="Times New Roman" w:hAnsi="Times New Roman" w:cs="Times New Roman"/>
            <w:noProof/>
            <w:sz w:val="24"/>
            <w:szCs w:val="24"/>
          </w:rPr>
          <w:t>3</w:t>
        </w:r>
        <w:r w:rsidRPr="00B21D40">
          <w:rPr>
            <w:rFonts w:ascii="Times New Roman" w:hAnsi="Times New Roman" w:cs="Times New Roman"/>
            <w:noProof/>
            <w:sz w:val="24"/>
            <w:szCs w:val="24"/>
          </w:rPr>
          <w:fldChar w:fldCharType="end"/>
        </w:r>
      </w:p>
    </w:sdtContent>
  </w:sdt>
  <w:p w:rsidR="001411EC" w:rsidRDefault="001411E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EC" w:rsidRDefault="00141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E6A" w:rsidRDefault="00DD2E6A" w:rsidP="00E62E20">
      <w:pPr>
        <w:spacing w:after="0" w:line="240" w:lineRule="auto"/>
      </w:pPr>
      <w:r>
        <w:separator/>
      </w:r>
    </w:p>
  </w:footnote>
  <w:footnote w:type="continuationSeparator" w:id="0">
    <w:p w:rsidR="00DD2E6A" w:rsidRDefault="00DD2E6A" w:rsidP="00E62E20">
      <w:pPr>
        <w:spacing w:after="0" w:line="240" w:lineRule="auto"/>
      </w:pPr>
      <w:r>
        <w:continuationSeparator/>
      </w:r>
    </w:p>
  </w:footnote>
  <w:footnote w:id="1">
    <w:p w:rsidR="001411EC" w:rsidRPr="00A557FA" w:rsidRDefault="001411EC">
      <w:pPr>
        <w:pStyle w:val="FootnoteText"/>
        <w:rPr>
          <w:rFonts w:ascii="Times New Roman" w:hAnsi="Times New Roman" w:cs="Times New Roman"/>
        </w:rPr>
      </w:pPr>
      <w:r w:rsidRPr="00A557FA">
        <w:rPr>
          <w:rStyle w:val="FootnoteReference"/>
          <w:rFonts w:ascii="Times New Roman" w:hAnsi="Times New Roman" w:cs="Times New Roman"/>
        </w:rPr>
        <w:footnoteRef/>
      </w:r>
      <w:r w:rsidRPr="00A557FA">
        <w:rPr>
          <w:rFonts w:ascii="Times New Roman" w:hAnsi="Times New Roman" w:cs="Times New Roman"/>
        </w:rPr>
        <w:t xml:space="preserve"> For further information on OTA’s services, see </w:t>
      </w:r>
      <w:r w:rsidRPr="00A557FA">
        <w:rPr>
          <w:rFonts w:ascii="Times New Roman" w:eastAsia="Times New Roman" w:hAnsi="Times New Roman" w:cs="Times New Roman"/>
        </w:rPr>
        <w:t>http://www1.nyc.gov/site/finance/about/taxpayer-advocate.page</w:t>
      </w:r>
      <w:r w:rsidRPr="00A557FA">
        <w:rPr>
          <w:rStyle w:val="Hyperlink"/>
          <w:rFonts w:ascii="Times New Roman" w:eastAsia="Times New Roman" w:hAnsi="Times New Roman" w:cs="Times New Roman"/>
          <w:color w:val="auto"/>
          <w:u w:val="none"/>
        </w:rPr>
        <w:t>.</w:t>
      </w:r>
    </w:p>
  </w:footnote>
  <w:footnote w:id="2">
    <w:p w:rsidR="001411EC" w:rsidRDefault="001411EC">
      <w:pPr>
        <w:pStyle w:val="FootnoteText"/>
      </w:pPr>
      <w:r w:rsidRPr="00A557FA">
        <w:rPr>
          <w:rStyle w:val="FootnoteReference"/>
          <w:rFonts w:ascii="Times New Roman" w:hAnsi="Times New Roman" w:cs="Times New Roman"/>
        </w:rPr>
        <w:footnoteRef/>
      </w:r>
      <w:r w:rsidRPr="00A557FA">
        <w:rPr>
          <w:rFonts w:ascii="Times New Roman" w:hAnsi="Times New Roman" w:cs="Times New Roman"/>
        </w:rPr>
        <w:t xml:space="preserve"> The aggregate total reflects 44 cases that were open in the 2016 reporting period and closed in the 2017 reporting period, which were not captured in the 2016 </w:t>
      </w:r>
      <w:r>
        <w:rPr>
          <w:rFonts w:ascii="Times New Roman" w:hAnsi="Times New Roman" w:cs="Times New Roman"/>
        </w:rPr>
        <w:t>A</w:t>
      </w:r>
      <w:r w:rsidRPr="00A557FA">
        <w:rPr>
          <w:rFonts w:ascii="Times New Roman" w:hAnsi="Times New Roman" w:cs="Times New Roman"/>
        </w:rPr>
        <w:t>nnual</w:t>
      </w:r>
      <w:r>
        <w:rPr>
          <w:rFonts w:ascii="Times New Roman" w:hAnsi="Times New Roman" w:cs="Times New Roman"/>
        </w:rPr>
        <w:t xml:space="preserve"> R</w:t>
      </w:r>
      <w:r w:rsidRPr="00A557FA">
        <w:rPr>
          <w:rFonts w:ascii="Times New Roman" w:hAnsi="Times New Roman" w:cs="Times New Roman"/>
        </w:rPr>
        <w:t>eport. Those 44 cases resulted in $176,492 in refunds and $888,941 in abatements.</w:t>
      </w:r>
    </w:p>
  </w:footnote>
  <w:footnote w:id="3">
    <w:p w:rsidR="001411EC" w:rsidRPr="009E4F46" w:rsidRDefault="001411EC">
      <w:pPr>
        <w:pStyle w:val="FootnoteText"/>
        <w:rPr>
          <w:rFonts w:ascii="Times New Roman" w:hAnsi="Times New Roman" w:cs="Times New Roman"/>
        </w:rPr>
      </w:pPr>
      <w:r w:rsidRPr="009E4F46">
        <w:rPr>
          <w:rStyle w:val="FootnoteReference"/>
          <w:rFonts w:ascii="Times New Roman" w:hAnsi="Times New Roman" w:cs="Times New Roman"/>
        </w:rPr>
        <w:footnoteRef/>
      </w:r>
      <w:r w:rsidRPr="009E4F46">
        <w:rPr>
          <w:rFonts w:ascii="Times New Roman" w:hAnsi="Times New Roman" w:cs="Times New Roman"/>
        </w:rPr>
        <w:t xml:space="preserve"> http://www1.nyc.gov/assets/finance/downloads/pdf/reports/taxpayer_advocate/2016_taxpayer_advocate_report.pdf</w:t>
      </w:r>
    </w:p>
  </w:footnote>
  <w:footnote w:id="4">
    <w:p w:rsidR="001411EC" w:rsidRPr="00AA7FAE" w:rsidRDefault="001411EC" w:rsidP="003142B7">
      <w:pPr>
        <w:pStyle w:val="FootnoteText"/>
        <w:rPr>
          <w:rFonts w:ascii="Times New Roman" w:hAnsi="Times New Roman" w:cs="Times New Roman"/>
        </w:rPr>
      </w:pPr>
      <w:r w:rsidRPr="00AA7FAE">
        <w:rPr>
          <w:rStyle w:val="FootnoteReference"/>
          <w:rFonts w:ascii="Times New Roman" w:hAnsi="Times New Roman" w:cs="Times New Roman"/>
        </w:rPr>
        <w:footnoteRef/>
      </w:r>
      <w:r w:rsidRPr="00AA7FAE">
        <w:rPr>
          <w:rFonts w:ascii="Times New Roman" w:hAnsi="Times New Roman" w:cs="Times New Roman"/>
        </w:rPr>
        <w:t xml:space="preserve"> OTA strives to “resolve” every case, but for various reasons—includ</w:t>
      </w:r>
      <w:r>
        <w:rPr>
          <w:rFonts w:ascii="Times New Roman" w:hAnsi="Times New Roman" w:cs="Times New Roman"/>
        </w:rPr>
        <w:t>ing taxpayers who do not respond to contacts</w:t>
      </w:r>
      <w:r w:rsidRPr="00AA7FAE">
        <w:rPr>
          <w:rFonts w:ascii="Times New Roman" w:hAnsi="Times New Roman" w:cs="Times New Roman"/>
        </w:rPr>
        <w:t xml:space="preserve"> or do not cooperate with OTA requests, and bright-line matters of DOF policy—</w:t>
      </w:r>
      <w:r w:rsidRPr="003C10D5">
        <w:rPr>
          <w:rFonts w:ascii="Times New Roman" w:hAnsi="Times New Roman" w:cs="Times New Roman"/>
        </w:rPr>
        <w:t>less than 19%</w:t>
      </w:r>
      <w:r w:rsidRPr="00AA7FAE">
        <w:rPr>
          <w:rFonts w:ascii="Times New Roman" w:hAnsi="Times New Roman" w:cs="Times New Roman"/>
        </w:rPr>
        <w:t xml:space="preserve"> of </w:t>
      </w:r>
      <w:r>
        <w:rPr>
          <w:rFonts w:ascii="Times New Roman" w:hAnsi="Times New Roman" w:cs="Times New Roman"/>
        </w:rPr>
        <w:t>OTA closed</w:t>
      </w:r>
      <w:r w:rsidRPr="00AA7FAE">
        <w:rPr>
          <w:rFonts w:ascii="Times New Roman" w:hAnsi="Times New Roman" w:cs="Times New Roman"/>
        </w:rPr>
        <w:t xml:space="preserve"> cases have gone unresolved </w:t>
      </w:r>
      <w:r>
        <w:rPr>
          <w:rFonts w:ascii="Times New Roman" w:hAnsi="Times New Roman" w:cs="Times New Roman"/>
        </w:rPr>
        <w:t>since the office opened.</w:t>
      </w:r>
    </w:p>
  </w:footnote>
  <w:footnote w:id="5">
    <w:p w:rsidR="001411EC" w:rsidRPr="00580C21" w:rsidRDefault="001411EC" w:rsidP="00D52070">
      <w:pPr>
        <w:pStyle w:val="FootnoteText"/>
        <w:rPr>
          <w:rFonts w:ascii="Times New Roman" w:hAnsi="Times New Roman" w:cs="Times New Roman"/>
        </w:rPr>
      </w:pPr>
      <w:r w:rsidRPr="00580C21">
        <w:rPr>
          <w:rStyle w:val="FootnoteReference"/>
          <w:rFonts w:ascii="Times New Roman" w:hAnsi="Times New Roman" w:cs="Times New Roman"/>
        </w:rPr>
        <w:footnoteRef/>
      </w:r>
      <w:r w:rsidRPr="00580C21">
        <w:rPr>
          <w:rFonts w:ascii="Times New Roman" w:hAnsi="Times New Roman" w:cs="Times New Roman"/>
        </w:rPr>
        <w:t xml:space="preserve"> </w:t>
      </w:r>
      <w:r>
        <w:rPr>
          <w:rFonts w:ascii="Times New Roman" w:hAnsi="Times New Roman" w:cs="Times New Roman"/>
        </w:rPr>
        <w:t xml:space="preserve">Title II of the Americans With Disabilities Act requires the provision of reasonable accommodations necessary to enable persons with disabilities to participate in programs, services, and activities. For more information on Title II as it relates to the DOF, see </w:t>
      </w:r>
      <w:r w:rsidRPr="00580C21">
        <w:rPr>
          <w:rFonts w:ascii="Times New Roman" w:hAnsi="Times New Roman" w:cs="Times New Roman"/>
        </w:rPr>
        <w:t>http://www1.nyc.gov/site/finance/about/americans-with-disabilities-act.page</w:t>
      </w:r>
      <w:r>
        <w:rPr>
          <w:rFonts w:ascii="Times New Roman" w:hAnsi="Times New Roman" w:cs="Times New Roman"/>
        </w:rPr>
        <w:t>.</w:t>
      </w:r>
    </w:p>
  </w:footnote>
  <w:footnote w:id="6">
    <w:p w:rsidR="001411EC" w:rsidRPr="00AA7FAE" w:rsidRDefault="001411EC">
      <w:pPr>
        <w:pStyle w:val="FootnoteText"/>
        <w:rPr>
          <w:rFonts w:ascii="Times New Roman" w:hAnsi="Times New Roman" w:cs="Times New Roman"/>
        </w:rPr>
      </w:pPr>
      <w:r w:rsidRPr="00AA7FAE">
        <w:rPr>
          <w:rStyle w:val="FootnoteReference"/>
          <w:rFonts w:ascii="Times New Roman" w:hAnsi="Times New Roman" w:cs="Times New Roman"/>
        </w:rPr>
        <w:footnoteRef/>
      </w:r>
      <w:r w:rsidRPr="00AA7FAE">
        <w:rPr>
          <w:rFonts w:ascii="Times New Roman" w:hAnsi="Times New Roman" w:cs="Times New Roman"/>
        </w:rPr>
        <w:t xml:space="preserve"> Abatements (coop and condo, 421-a and commercial abatements); Personal Exemptions (STAR, Enhanced STAR, S</w:t>
      </w:r>
      <w:r>
        <w:rPr>
          <w:rFonts w:ascii="Times New Roman" w:hAnsi="Times New Roman" w:cs="Times New Roman"/>
        </w:rPr>
        <w:t>CHE and DHE,</w:t>
      </w:r>
      <w:r w:rsidRPr="00AA7FAE">
        <w:rPr>
          <w:rFonts w:ascii="Times New Roman" w:hAnsi="Times New Roman" w:cs="Times New Roman"/>
        </w:rPr>
        <w:t xml:space="preserve"> Veteran’s</w:t>
      </w:r>
      <w:r>
        <w:rPr>
          <w:rFonts w:ascii="Times New Roman" w:hAnsi="Times New Roman" w:cs="Times New Roman"/>
        </w:rPr>
        <w:t xml:space="preserve">, Clergy and </w:t>
      </w:r>
      <w:r w:rsidRPr="00AA7FAE">
        <w:rPr>
          <w:rFonts w:ascii="Times New Roman" w:hAnsi="Times New Roman" w:cs="Times New Roman"/>
        </w:rPr>
        <w:t>Good Samaritan</w:t>
      </w:r>
      <w:r>
        <w:rPr>
          <w:rFonts w:ascii="Times New Roman" w:hAnsi="Times New Roman" w:cs="Times New Roman"/>
        </w:rPr>
        <w:t>)</w:t>
      </w:r>
      <w:r w:rsidRPr="00AA7FAE">
        <w:rPr>
          <w:rFonts w:ascii="Times New Roman" w:hAnsi="Times New Roman" w:cs="Times New Roman"/>
        </w:rPr>
        <w:t xml:space="preserve">; </w:t>
      </w:r>
      <w:r>
        <w:rPr>
          <w:rFonts w:ascii="Times New Roman" w:hAnsi="Times New Roman" w:cs="Times New Roman"/>
        </w:rPr>
        <w:t xml:space="preserve">Property Tax </w:t>
      </w:r>
      <w:r w:rsidRPr="00AA7FAE">
        <w:rPr>
          <w:rFonts w:ascii="Times New Roman" w:hAnsi="Times New Roman" w:cs="Times New Roman"/>
        </w:rPr>
        <w:t>Classification</w:t>
      </w:r>
      <w:r>
        <w:rPr>
          <w:rFonts w:ascii="Times New Roman" w:hAnsi="Times New Roman" w:cs="Times New Roman"/>
        </w:rPr>
        <w:t xml:space="preserve">, </w:t>
      </w:r>
      <w:r w:rsidRPr="00AA7FAE">
        <w:rPr>
          <w:rFonts w:ascii="Times New Roman" w:hAnsi="Times New Roman" w:cs="Times New Roman"/>
        </w:rPr>
        <w:t>Assessed or Market Value</w:t>
      </w:r>
      <w:r>
        <w:rPr>
          <w:rFonts w:ascii="Times New Roman" w:hAnsi="Times New Roman" w:cs="Times New Roman"/>
        </w:rPr>
        <w:t xml:space="preserve">, </w:t>
      </w:r>
      <w:r w:rsidRPr="00AA7FAE">
        <w:rPr>
          <w:rFonts w:ascii="Times New Roman" w:hAnsi="Times New Roman" w:cs="Times New Roman"/>
        </w:rPr>
        <w:t>Mapping (</w:t>
      </w:r>
      <w:r>
        <w:rPr>
          <w:rFonts w:ascii="Times New Roman" w:hAnsi="Times New Roman" w:cs="Times New Roman"/>
        </w:rPr>
        <w:t xml:space="preserve">assignment of lot numbers) </w:t>
      </w:r>
      <w:r w:rsidRPr="00AA7FAE">
        <w:rPr>
          <w:rFonts w:ascii="Times New Roman" w:hAnsi="Times New Roman" w:cs="Times New Roman"/>
        </w:rPr>
        <w:t>Refunds</w:t>
      </w:r>
      <w:r>
        <w:rPr>
          <w:rFonts w:ascii="Times New Roman" w:hAnsi="Times New Roman" w:cs="Times New Roman"/>
        </w:rPr>
        <w:t xml:space="preserve">, </w:t>
      </w:r>
      <w:r w:rsidRPr="00AA7FAE">
        <w:rPr>
          <w:rFonts w:ascii="Times New Roman" w:hAnsi="Times New Roman" w:cs="Times New Roman"/>
        </w:rPr>
        <w:t>Payments (</w:t>
      </w:r>
      <w:r>
        <w:rPr>
          <w:rFonts w:ascii="Times New Roman" w:hAnsi="Times New Roman" w:cs="Times New Roman"/>
        </w:rPr>
        <w:t xml:space="preserve">processing of and application of) , </w:t>
      </w:r>
      <w:r w:rsidRPr="00AA7FAE">
        <w:rPr>
          <w:rFonts w:ascii="Times New Roman" w:hAnsi="Times New Roman" w:cs="Times New Roman"/>
        </w:rPr>
        <w:t>Commercial Exemptions (ICIP and ICAP); Apportionment (process</w:t>
      </w:r>
      <w:r>
        <w:rPr>
          <w:rFonts w:ascii="Times New Roman" w:hAnsi="Times New Roman" w:cs="Times New Roman"/>
        </w:rPr>
        <w:t xml:space="preserve">ing of requesting apportionment or merger </w:t>
      </w:r>
      <w:r w:rsidRPr="00AA7FAE">
        <w:rPr>
          <w:rFonts w:ascii="Times New Roman" w:hAnsi="Times New Roman" w:cs="Times New Roman"/>
        </w:rPr>
        <w:t>requests</w:t>
      </w:r>
      <w:r>
        <w:rPr>
          <w:rFonts w:ascii="Times New Roman" w:hAnsi="Times New Roman" w:cs="Times New Roman"/>
        </w:rPr>
        <w:t xml:space="preserve">), </w:t>
      </w:r>
      <w:r w:rsidRPr="00AA7FAE">
        <w:rPr>
          <w:rFonts w:ascii="Times New Roman" w:hAnsi="Times New Roman" w:cs="Times New Roman"/>
        </w:rPr>
        <w:t xml:space="preserve">Records (how DOF has recorded </w:t>
      </w:r>
      <w:r>
        <w:rPr>
          <w:rFonts w:ascii="Times New Roman" w:hAnsi="Times New Roman" w:cs="Times New Roman"/>
        </w:rPr>
        <w:t xml:space="preserve">a </w:t>
      </w:r>
      <w:r w:rsidRPr="00AA7FAE">
        <w:rPr>
          <w:rFonts w:ascii="Times New Roman" w:hAnsi="Times New Roman" w:cs="Times New Roman"/>
        </w:rPr>
        <w:t>property)</w:t>
      </w:r>
      <w:r>
        <w:rPr>
          <w:rFonts w:ascii="Times New Roman" w:hAnsi="Times New Roman" w:cs="Times New Roman"/>
        </w:rPr>
        <w:t>,</w:t>
      </w:r>
      <w:r w:rsidRPr="00AA7FAE">
        <w:rPr>
          <w:rFonts w:ascii="Times New Roman" w:hAnsi="Times New Roman" w:cs="Times New Roman"/>
        </w:rPr>
        <w:t xml:space="preserve"> RPIE Penalty (</w:t>
      </w:r>
      <w:r>
        <w:rPr>
          <w:rFonts w:ascii="Times New Roman" w:hAnsi="Times New Roman" w:cs="Times New Roman"/>
        </w:rPr>
        <w:t xml:space="preserve">imposed on late and non-filers), Real Property Transfer Tax, Property </w:t>
      </w:r>
      <w:r w:rsidRPr="00AA7FAE">
        <w:rPr>
          <w:rFonts w:ascii="Times New Roman" w:hAnsi="Times New Roman" w:cs="Times New Roman"/>
        </w:rPr>
        <w:t>Tax Exempt</w:t>
      </w:r>
      <w:r>
        <w:rPr>
          <w:rFonts w:ascii="Times New Roman" w:hAnsi="Times New Roman" w:cs="Times New Roman"/>
        </w:rPr>
        <w:t xml:space="preserve">ions </w:t>
      </w:r>
      <w:r w:rsidRPr="00AA7FAE">
        <w:rPr>
          <w:rFonts w:ascii="Times New Roman" w:hAnsi="Times New Roman" w:cs="Times New Roman"/>
        </w:rPr>
        <w:t>(questions concerning requested, denied or removed tax exempt</w:t>
      </w:r>
      <w:r>
        <w:rPr>
          <w:rFonts w:ascii="Times New Roman" w:hAnsi="Times New Roman" w:cs="Times New Roman"/>
        </w:rPr>
        <w:t>ions</w:t>
      </w:r>
      <w:r w:rsidRPr="00AA7FAE">
        <w:rPr>
          <w:rFonts w:ascii="Times New Roman" w:hAnsi="Times New Roman" w:cs="Times New Roman"/>
        </w:rPr>
        <w:t xml:space="preserve">); </w:t>
      </w:r>
      <w:r>
        <w:rPr>
          <w:rFonts w:ascii="Times New Roman" w:hAnsi="Times New Roman" w:cs="Times New Roman"/>
        </w:rPr>
        <w:t xml:space="preserve">Payment Plans , Collections (attempts to collect prior to a lien sale); </w:t>
      </w:r>
      <w:r w:rsidRPr="00AA7FAE">
        <w:rPr>
          <w:rFonts w:ascii="Times New Roman" w:hAnsi="Times New Roman" w:cs="Times New Roman"/>
        </w:rPr>
        <w:t>Tax Lien Sale (que</w:t>
      </w:r>
      <w:r>
        <w:rPr>
          <w:rFonts w:ascii="Times New Roman" w:hAnsi="Times New Roman" w:cs="Times New Roman"/>
        </w:rPr>
        <w:t xml:space="preserve">stions about </w:t>
      </w:r>
      <w:r w:rsidRPr="00AA7FAE">
        <w:rPr>
          <w:rFonts w:ascii="Times New Roman" w:hAnsi="Times New Roman" w:cs="Times New Roman"/>
        </w:rPr>
        <w:t xml:space="preserve">properties in </w:t>
      </w:r>
      <w:r>
        <w:rPr>
          <w:rFonts w:ascii="Times New Roman" w:hAnsi="Times New Roman" w:cs="Times New Roman"/>
        </w:rPr>
        <w:t xml:space="preserve">the current or previous </w:t>
      </w:r>
      <w:r w:rsidRPr="00AA7FAE">
        <w:rPr>
          <w:rFonts w:ascii="Times New Roman" w:hAnsi="Times New Roman" w:cs="Times New Roman"/>
        </w:rPr>
        <w:t>tax lien sale.)</w:t>
      </w:r>
      <w:r>
        <w:rPr>
          <w:rFonts w:ascii="Times New Roman" w:hAnsi="Times New Roman" w:cs="Times New Roman"/>
        </w:rPr>
        <w:t>; and Other (unique issues or questions, or disputes that involve hybrid or multiple issues).</w:t>
      </w:r>
    </w:p>
  </w:footnote>
  <w:footnote w:id="7">
    <w:p w:rsidR="001411EC" w:rsidRPr="00DD2A7C" w:rsidRDefault="001411EC" w:rsidP="00014781">
      <w:pPr>
        <w:pStyle w:val="FootnoteText"/>
        <w:rPr>
          <w:rFonts w:ascii="Times New Roman" w:hAnsi="Times New Roman" w:cs="Times New Roman"/>
        </w:rPr>
      </w:pPr>
      <w:r w:rsidRPr="00DD2A7C">
        <w:rPr>
          <w:rStyle w:val="FootnoteReference"/>
          <w:rFonts w:ascii="Times New Roman" w:hAnsi="Times New Roman" w:cs="Times New Roman"/>
        </w:rPr>
        <w:footnoteRef/>
      </w:r>
      <w:r w:rsidRPr="00DD2A7C">
        <w:rPr>
          <w:rFonts w:ascii="Times New Roman" w:hAnsi="Times New Roman" w:cs="Times New Roman"/>
        </w:rPr>
        <w:t xml:space="preserve"> Districts without any data have not had any cases with refunds or abatements </w:t>
      </w:r>
      <w:r>
        <w:rPr>
          <w:rFonts w:ascii="Times New Roman" w:hAnsi="Times New Roman" w:cs="Times New Roman"/>
        </w:rPr>
        <w:t>through March 31, 2017</w:t>
      </w:r>
      <w:r w:rsidRPr="00DD2A7C">
        <w:rPr>
          <w:rFonts w:ascii="Times New Roman" w:hAnsi="Times New Roman" w:cs="Times New Roman"/>
        </w:rPr>
        <w:t>.</w:t>
      </w:r>
    </w:p>
  </w:footnote>
  <w:footnote w:id="8">
    <w:p w:rsidR="001411EC" w:rsidRPr="00AA7FAE" w:rsidRDefault="001411EC">
      <w:pPr>
        <w:pStyle w:val="FootnoteText"/>
        <w:rPr>
          <w:rFonts w:ascii="Times New Roman" w:hAnsi="Times New Roman" w:cs="Times New Roman"/>
        </w:rPr>
      </w:pPr>
      <w:r w:rsidRPr="00AA7FAE">
        <w:rPr>
          <w:rStyle w:val="FootnoteReference"/>
          <w:rFonts w:ascii="Times New Roman" w:hAnsi="Times New Roman" w:cs="Times New Roman"/>
        </w:rPr>
        <w:footnoteRef/>
      </w:r>
      <w:r w:rsidRPr="00AA7FAE">
        <w:rPr>
          <w:rFonts w:ascii="Times New Roman" w:hAnsi="Times New Roman" w:cs="Times New Roman"/>
        </w:rPr>
        <w:t xml:space="preserve"> The subcategories of Business and Excise Tax cases and inquiries are</w:t>
      </w:r>
      <w:r>
        <w:rPr>
          <w:rFonts w:ascii="Times New Roman" w:hAnsi="Times New Roman" w:cs="Times New Roman"/>
        </w:rPr>
        <w:t xml:space="preserve"> subdivided into particular issue types from four major business tax types including General Business Tax, Unincorporated Business Tax, Commercial Rent Tax and Other Taxes.</w:t>
      </w:r>
    </w:p>
  </w:footnote>
  <w:footnote w:id="9">
    <w:p w:rsidR="001411EC" w:rsidRPr="00F36314" w:rsidRDefault="001411EC" w:rsidP="004C15B5">
      <w:pPr>
        <w:pStyle w:val="FootnoteText"/>
        <w:rPr>
          <w:rFonts w:ascii="Times New Roman" w:hAnsi="Times New Roman" w:cs="Times New Roman"/>
        </w:rPr>
      </w:pPr>
      <w:r w:rsidRPr="00F36314">
        <w:rPr>
          <w:rStyle w:val="FootnoteReference"/>
          <w:rFonts w:ascii="Times New Roman" w:hAnsi="Times New Roman" w:cs="Times New Roman"/>
        </w:rPr>
        <w:footnoteRef/>
      </w:r>
      <w:r w:rsidRPr="00F36314">
        <w:rPr>
          <w:rFonts w:ascii="Times New Roman" w:hAnsi="Times New Roman" w:cs="Times New Roman"/>
        </w:rPr>
        <w:t xml:space="preserve"> Eighty two (82) cases out of 305 reported by OTA in the most recent reporting period involved taxpayer directly who did not understand how their business or property taxes were calculated. Such a figure does not include other cases where confusion over tax calculations was an ancillary issue—e.g., issues of valuation, issues locating instructions, issues regarding how benefits are applied to taxes. Nor does it include the taxpayers who did not reach out to OTA—for instance, the hundreds of property owners who attended DOF’s NOPV sessions in February and March, seeking clarification how their property taxes were calculated.</w:t>
      </w:r>
    </w:p>
  </w:footnote>
  <w:footnote w:id="10">
    <w:p w:rsidR="001411EC" w:rsidRPr="008C0BAC" w:rsidRDefault="001411EC" w:rsidP="00B73602">
      <w:pPr>
        <w:pStyle w:val="FootnoteText"/>
        <w:rPr>
          <w:rFonts w:ascii="Times New Roman" w:hAnsi="Times New Roman" w:cs="Times New Roman"/>
        </w:rPr>
      </w:pPr>
      <w:r w:rsidRPr="008C0BAC">
        <w:rPr>
          <w:rStyle w:val="FootnoteReference"/>
          <w:rFonts w:ascii="Times New Roman" w:hAnsi="Times New Roman" w:cs="Times New Roman"/>
        </w:rPr>
        <w:footnoteRef/>
      </w:r>
      <w:r w:rsidRPr="008C0BAC">
        <w:rPr>
          <w:rFonts w:ascii="Times New Roman" w:hAnsi="Times New Roman" w:cs="Times New Roman"/>
        </w:rPr>
        <w:t xml:space="preserve"> http://www1.nyc.gov/finance/taxes/property.page.</w:t>
      </w:r>
    </w:p>
  </w:footnote>
  <w:footnote w:id="11">
    <w:p w:rsidR="001411EC" w:rsidRDefault="001411EC" w:rsidP="00B73602">
      <w:pPr>
        <w:pStyle w:val="FootnoteText"/>
      </w:pPr>
      <w:r w:rsidRPr="00BD6454">
        <w:rPr>
          <w:rStyle w:val="FootnoteReference"/>
          <w:rFonts w:ascii="Times New Roman" w:hAnsi="Times New Roman" w:cs="Times New Roman"/>
        </w:rPr>
        <w:footnoteRef/>
      </w:r>
      <w:r w:rsidRPr="00BD6454">
        <w:rPr>
          <w:rFonts w:ascii="Times New Roman" w:hAnsi="Times New Roman" w:cs="Times New Roman"/>
        </w:rPr>
        <w:t xml:space="preserve"> OTA is monitoring the extent to whi</w:t>
      </w:r>
      <w:r w:rsidR="009F04B9">
        <w:rPr>
          <w:rFonts w:ascii="Times New Roman" w:hAnsi="Times New Roman" w:cs="Times New Roman"/>
        </w:rPr>
        <w:t>ch this is a recurring problem.</w:t>
      </w:r>
    </w:p>
  </w:footnote>
  <w:footnote w:id="12">
    <w:p w:rsidR="001411EC" w:rsidRPr="001F1218" w:rsidRDefault="001411EC">
      <w:pPr>
        <w:pStyle w:val="FootnoteText"/>
        <w:rPr>
          <w:rFonts w:ascii="Times New Roman" w:hAnsi="Times New Roman" w:cs="Times New Roman"/>
        </w:rPr>
      </w:pPr>
      <w:r w:rsidRPr="001F1218">
        <w:rPr>
          <w:rStyle w:val="FootnoteReference"/>
          <w:rFonts w:ascii="Times New Roman" w:hAnsi="Times New Roman" w:cs="Times New Roman"/>
        </w:rPr>
        <w:footnoteRef/>
      </w:r>
      <w:r w:rsidRPr="001F1218">
        <w:rPr>
          <w:rFonts w:ascii="Times New Roman" w:hAnsi="Times New Roman" w:cs="Times New Roman"/>
        </w:rPr>
        <w:t xml:space="preserve"> DOF already has an online form that taxpayers can complete requesting information on the status of a </w:t>
      </w:r>
      <w:r w:rsidRPr="00424A4A">
        <w:rPr>
          <w:rFonts w:ascii="Times New Roman" w:hAnsi="Times New Roman" w:cs="Times New Roman"/>
          <w:i/>
        </w:rPr>
        <w:t>refund</w:t>
      </w:r>
      <w:r w:rsidRPr="001F1218">
        <w:rPr>
          <w:rFonts w:ascii="Times New Roman" w:hAnsi="Times New Roman" w:cs="Times New Roman"/>
        </w:rPr>
        <w:t>, but such form is the equivalent of sending an e-mail request,</w:t>
      </w:r>
      <w:r>
        <w:rPr>
          <w:rFonts w:ascii="Times New Roman" w:hAnsi="Times New Roman" w:cs="Times New Roman"/>
        </w:rPr>
        <w:t xml:space="preserve"> not an instantaneous answer pulled from a database.</w:t>
      </w:r>
    </w:p>
  </w:footnote>
  <w:footnote w:id="13">
    <w:p w:rsidR="001411EC" w:rsidRPr="008160F5" w:rsidRDefault="001411EC">
      <w:pPr>
        <w:pStyle w:val="FootnoteText"/>
        <w:rPr>
          <w:rFonts w:ascii="Times New Roman" w:hAnsi="Times New Roman" w:cs="Times New Roman"/>
        </w:rPr>
      </w:pPr>
      <w:r w:rsidRPr="008160F5">
        <w:rPr>
          <w:rStyle w:val="FootnoteReference"/>
          <w:rFonts w:ascii="Times New Roman" w:hAnsi="Times New Roman" w:cs="Times New Roman"/>
        </w:rPr>
        <w:footnoteRef/>
      </w:r>
      <w:r>
        <w:rPr>
          <w:rFonts w:ascii="Times New Roman" w:hAnsi="Times New Roman" w:cs="Times New Roman"/>
        </w:rPr>
        <w:t xml:space="preserve"> The SCRIE/DRIE 2016 report is available here:</w:t>
      </w:r>
      <w:r w:rsidRPr="008160F5">
        <w:rPr>
          <w:rFonts w:ascii="Times New Roman" w:hAnsi="Times New Roman" w:cs="Times New Roman"/>
        </w:rPr>
        <w:t xml:space="preserve"> </w:t>
      </w:r>
      <w:hyperlink r:id="rId1" w:history="1">
        <w:r w:rsidRPr="008160F5">
          <w:rPr>
            <w:rStyle w:val="Hyperlink"/>
            <w:rFonts w:ascii="Times New Roman" w:eastAsia="Times New Roman" w:hAnsi="Times New Roman" w:cs="Times New Roman"/>
            <w:color w:val="auto"/>
            <w:u w:val="none"/>
          </w:rPr>
          <w:t>http://www1.nyc.gov/assets/rentfreeze/downloads/pdf/scrie-drie_report.pdf</w:t>
        </w:r>
      </w:hyperlink>
      <w:r>
        <w:rPr>
          <w:rStyle w:val="Hyperlink"/>
          <w:rFonts w:ascii="Times New Roman" w:eastAsia="Times New Roman" w:hAnsi="Times New Roman" w:cs="Times New Roman"/>
          <w:color w:val="auto"/>
          <w:u w:val="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EC" w:rsidRDefault="00141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EC" w:rsidRPr="006C64ED" w:rsidRDefault="001411EC" w:rsidP="006C64ED">
    <w:pPr>
      <w:pStyle w:val="Header"/>
      <w:jc w:val="center"/>
      <w:rPr>
        <w:rFonts w:ascii="Times New Roman" w:hAnsi="Times New Roman" w:cs="Times New Roman"/>
        <w:b/>
        <w:sz w:val="32"/>
        <w:szCs w:val="32"/>
      </w:rPr>
    </w:pPr>
  </w:p>
  <w:p w:rsidR="001411EC" w:rsidRDefault="001411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EC" w:rsidRDefault="00141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2B0B"/>
    <w:multiLevelType w:val="hybridMultilevel"/>
    <w:tmpl w:val="5EE020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3464B"/>
    <w:multiLevelType w:val="hybridMultilevel"/>
    <w:tmpl w:val="B40E0EBC"/>
    <w:lvl w:ilvl="0" w:tplc="94D663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D4B43"/>
    <w:multiLevelType w:val="hybridMultilevel"/>
    <w:tmpl w:val="70DC2098"/>
    <w:lvl w:ilvl="0" w:tplc="2F8A3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9D7F90"/>
    <w:multiLevelType w:val="hybridMultilevel"/>
    <w:tmpl w:val="AFDE5D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622E9"/>
    <w:multiLevelType w:val="hybridMultilevel"/>
    <w:tmpl w:val="6C7C4D96"/>
    <w:lvl w:ilvl="0" w:tplc="9A10CCC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D76D4"/>
    <w:multiLevelType w:val="hybridMultilevel"/>
    <w:tmpl w:val="0300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E25E2"/>
    <w:multiLevelType w:val="hybridMultilevel"/>
    <w:tmpl w:val="601C80F8"/>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F2E24"/>
    <w:multiLevelType w:val="hybridMultilevel"/>
    <w:tmpl w:val="F25C64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62327"/>
    <w:multiLevelType w:val="hybridMultilevel"/>
    <w:tmpl w:val="CBC84924"/>
    <w:lvl w:ilvl="0" w:tplc="3C74C22C">
      <w:start w:val="1"/>
      <w:numFmt w:val="upperLetter"/>
      <w:lvlText w:val="%1)"/>
      <w:lvlJc w:val="left"/>
      <w:pPr>
        <w:ind w:left="1800" w:hanging="360"/>
      </w:pPr>
      <w:rPr>
        <w:rFonts w:cs="Times New Roman" w:hint="default"/>
        <w:b/>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349C0D49"/>
    <w:multiLevelType w:val="hybridMultilevel"/>
    <w:tmpl w:val="358EE09E"/>
    <w:lvl w:ilvl="0" w:tplc="5142EAE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4530A5"/>
    <w:multiLevelType w:val="hybridMultilevel"/>
    <w:tmpl w:val="E49C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AC5C96"/>
    <w:multiLevelType w:val="hybridMultilevel"/>
    <w:tmpl w:val="79AEA650"/>
    <w:lvl w:ilvl="0" w:tplc="9F201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A95989"/>
    <w:multiLevelType w:val="hybridMultilevel"/>
    <w:tmpl w:val="511042A2"/>
    <w:lvl w:ilvl="0" w:tplc="D2FA6B1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16253D"/>
    <w:multiLevelType w:val="hybridMultilevel"/>
    <w:tmpl w:val="FDC07A6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677EA2"/>
    <w:multiLevelType w:val="hybridMultilevel"/>
    <w:tmpl w:val="440041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391A53"/>
    <w:multiLevelType w:val="hybridMultilevel"/>
    <w:tmpl w:val="23C6D4F2"/>
    <w:lvl w:ilvl="0" w:tplc="CDD2A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CF5AC8"/>
    <w:multiLevelType w:val="hybridMultilevel"/>
    <w:tmpl w:val="7BEA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DE5648"/>
    <w:multiLevelType w:val="hybridMultilevel"/>
    <w:tmpl w:val="AD2E6292"/>
    <w:lvl w:ilvl="0" w:tplc="32403118">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6575F4"/>
    <w:multiLevelType w:val="hybridMultilevel"/>
    <w:tmpl w:val="4F26BBDA"/>
    <w:lvl w:ilvl="0" w:tplc="53D8F5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ED76D1"/>
    <w:multiLevelType w:val="hybridMultilevel"/>
    <w:tmpl w:val="7C28A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E210E"/>
    <w:multiLevelType w:val="hybridMultilevel"/>
    <w:tmpl w:val="753ABA0E"/>
    <w:lvl w:ilvl="0" w:tplc="48D46FC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977A49"/>
    <w:multiLevelType w:val="hybridMultilevel"/>
    <w:tmpl w:val="994A2A16"/>
    <w:lvl w:ilvl="0" w:tplc="88942840">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1110B3"/>
    <w:multiLevelType w:val="hybridMultilevel"/>
    <w:tmpl w:val="458A2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3316C9"/>
    <w:multiLevelType w:val="hybridMultilevel"/>
    <w:tmpl w:val="82E402A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23"/>
  </w:num>
  <w:num w:numId="4">
    <w:abstractNumId w:val="1"/>
  </w:num>
  <w:num w:numId="5">
    <w:abstractNumId w:val="5"/>
  </w:num>
  <w:num w:numId="6">
    <w:abstractNumId w:val="2"/>
  </w:num>
  <w:num w:numId="7">
    <w:abstractNumId w:val="9"/>
  </w:num>
  <w:num w:numId="8">
    <w:abstractNumId w:val="13"/>
  </w:num>
  <w:num w:numId="9">
    <w:abstractNumId w:val="16"/>
  </w:num>
  <w:num w:numId="10">
    <w:abstractNumId w:val="3"/>
  </w:num>
  <w:num w:numId="11">
    <w:abstractNumId w:val="12"/>
  </w:num>
  <w:num w:numId="12">
    <w:abstractNumId w:val="6"/>
  </w:num>
  <w:num w:numId="13">
    <w:abstractNumId w:val="18"/>
  </w:num>
  <w:num w:numId="14">
    <w:abstractNumId w:val="0"/>
  </w:num>
  <w:num w:numId="15">
    <w:abstractNumId w:val="15"/>
  </w:num>
  <w:num w:numId="16">
    <w:abstractNumId w:val="10"/>
  </w:num>
  <w:num w:numId="17">
    <w:abstractNumId w:val="19"/>
  </w:num>
  <w:num w:numId="18">
    <w:abstractNumId w:val="14"/>
  </w:num>
  <w:num w:numId="19">
    <w:abstractNumId w:val="22"/>
  </w:num>
  <w:num w:numId="20">
    <w:abstractNumId w:val="21"/>
  </w:num>
  <w:num w:numId="21">
    <w:abstractNumId w:val="7"/>
  </w:num>
  <w:num w:numId="22">
    <w:abstractNumId w:val="4"/>
  </w:num>
  <w:num w:numId="23">
    <w:abstractNumId w:val="8"/>
  </w:num>
  <w:num w:numId="2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ED"/>
    <w:rsid w:val="00014781"/>
    <w:rsid w:val="00020B05"/>
    <w:rsid w:val="00024642"/>
    <w:rsid w:val="000263BD"/>
    <w:rsid w:val="00026FF4"/>
    <w:rsid w:val="0003257B"/>
    <w:rsid w:val="000377CB"/>
    <w:rsid w:val="00041083"/>
    <w:rsid w:val="00041B9F"/>
    <w:rsid w:val="000426F8"/>
    <w:rsid w:val="000466FC"/>
    <w:rsid w:val="00050692"/>
    <w:rsid w:val="00052BED"/>
    <w:rsid w:val="00057C59"/>
    <w:rsid w:val="0006077F"/>
    <w:rsid w:val="000609D2"/>
    <w:rsid w:val="00063B2D"/>
    <w:rsid w:val="00064906"/>
    <w:rsid w:val="0006786B"/>
    <w:rsid w:val="0007101E"/>
    <w:rsid w:val="0007275C"/>
    <w:rsid w:val="00074260"/>
    <w:rsid w:val="00076942"/>
    <w:rsid w:val="00076EBE"/>
    <w:rsid w:val="00081201"/>
    <w:rsid w:val="000830CE"/>
    <w:rsid w:val="00091180"/>
    <w:rsid w:val="00091607"/>
    <w:rsid w:val="000916C0"/>
    <w:rsid w:val="00093992"/>
    <w:rsid w:val="00096AEE"/>
    <w:rsid w:val="000A1EF2"/>
    <w:rsid w:val="000B1CB2"/>
    <w:rsid w:val="000B3247"/>
    <w:rsid w:val="000C2F48"/>
    <w:rsid w:val="000D6110"/>
    <w:rsid w:val="000D61A9"/>
    <w:rsid w:val="000D72F7"/>
    <w:rsid w:val="000E0E84"/>
    <w:rsid w:val="000E390C"/>
    <w:rsid w:val="000E3B01"/>
    <w:rsid w:val="000E49C9"/>
    <w:rsid w:val="0010070A"/>
    <w:rsid w:val="00105CCD"/>
    <w:rsid w:val="00106A12"/>
    <w:rsid w:val="001106E7"/>
    <w:rsid w:val="00110A24"/>
    <w:rsid w:val="00111564"/>
    <w:rsid w:val="00111890"/>
    <w:rsid w:val="00111C23"/>
    <w:rsid w:val="00113890"/>
    <w:rsid w:val="00117D73"/>
    <w:rsid w:val="001223FB"/>
    <w:rsid w:val="00123A67"/>
    <w:rsid w:val="001405AC"/>
    <w:rsid w:val="001411EC"/>
    <w:rsid w:val="00141C30"/>
    <w:rsid w:val="00147C0D"/>
    <w:rsid w:val="001505BA"/>
    <w:rsid w:val="00154EF0"/>
    <w:rsid w:val="00155A81"/>
    <w:rsid w:val="00155B70"/>
    <w:rsid w:val="001619EF"/>
    <w:rsid w:val="00162781"/>
    <w:rsid w:val="00162DB1"/>
    <w:rsid w:val="00167AEE"/>
    <w:rsid w:val="00172874"/>
    <w:rsid w:val="001729DC"/>
    <w:rsid w:val="00172FEC"/>
    <w:rsid w:val="00173207"/>
    <w:rsid w:val="00176488"/>
    <w:rsid w:val="0018368B"/>
    <w:rsid w:val="0018404F"/>
    <w:rsid w:val="001848EE"/>
    <w:rsid w:val="00190B63"/>
    <w:rsid w:val="0019263F"/>
    <w:rsid w:val="0019744F"/>
    <w:rsid w:val="001A093E"/>
    <w:rsid w:val="001A61BB"/>
    <w:rsid w:val="001B0EB6"/>
    <w:rsid w:val="001B7CDB"/>
    <w:rsid w:val="001C0BE6"/>
    <w:rsid w:val="001C11C6"/>
    <w:rsid w:val="001C3FDE"/>
    <w:rsid w:val="001C4B37"/>
    <w:rsid w:val="001C68EC"/>
    <w:rsid w:val="001C7AC1"/>
    <w:rsid w:val="001D6D71"/>
    <w:rsid w:val="001E10DE"/>
    <w:rsid w:val="001E7C87"/>
    <w:rsid w:val="001F1218"/>
    <w:rsid w:val="001F2C15"/>
    <w:rsid w:val="001F377E"/>
    <w:rsid w:val="001F7A25"/>
    <w:rsid w:val="00201062"/>
    <w:rsid w:val="00204B4B"/>
    <w:rsid w:val="00205BC2"/>
    <w:rsid w:val="0020609D"/>
    <w:rsid w:val="0020637D"/>
    <w:rsid w:val="0020733F"/>
    <w:rsid w:val="00210E06"/>
    <w:rsid w:val="00220497"/>
    <w:rsid w:val="0022244A"/>
    <w:rsid w:val="0022465D"/>
    <w:rsid w:val="002247BB"/>
    <w:rsid w:val="00224E54"/>
    <w:rsid w:val="00224EA8"/>
    <w:rsid w:val="002309B9"/>
    <w:rsid w:val="0023125D"/>
    <w:rsid w:val="00234B9C"/>
    <w:rsid w:val="002413C6"/>
    <w:rsid w:val="00245182"/>
    <w:rsid w:val="00245A71"/>
    <w:rsid w:val="0025236F"/>
    <w:rsid w:val="00252A45"/>
    <w:rsid w:val="00255F29"/>
    <w:rsid w:val="0025711E"/>
    <w:rsid w:val="00260332"/>
    <w:rsid w:val="00263C92"/>
    <w:rsid w:val="0026451F"/>
    <w:rsid w:val="00270808"/>
    <w:rsid w:val="002712AB"/>
    <w:rsid w:val="00271ABA"/>
    <w:rsid w:val="00271D69"/>
    <w:rsid w:val="00280291"/>
    <w:rsid w:val="00281733"/>
    <w:rsid w:val="00283937"/>
    <w:rsid w:val="00287BB9"/>
    <w:rsid w:val="002908A0"/>
    <w:rsid w:val="00292EEF"/>
    <w:rsid w:val="002946C0"/>
    <w:rsid w:val="0029470B"/>
    <w:rsid w:val="00294A88"/>
    <w:rsid w:val="00294D02"/>
    <w:rsid w:val="002A3220"/>
    <w:rsid w:val="002A4B78"/>
    <w:rsid w:val="002A6A91"/>
    <w:rsid w:val="002B052A"/>
    <w:rsid w:val="002B06F0"/>
    <w:rsid w:val="002C0B38"/>
    <w:rsid w:val="002C4C4E"/>
    <w:rsid w:val="002C79F1"/>
    <w:rsid w:val="002D047C"/>
    <w:rsid w:val="002D0957"/>
    <w:rsid w:val="002E01F7"/>
    <w:rsid w:val="002E1BB6"/>
    <w:rsid w:val="002E1E0E"/>
    <w:rsid w:val="002E3CAD"/>
    <w:rsid w:val="002E51DF"/>
    <w:rsid w:val="002E6A20"/>
    <w:rsid w:val="002F16C3"/>
    <w:rsid w:val="002F411E"/>
    <w:rsid w:val="002F579D"/>
    <w:rsid w:val="002F7DE4"/>
    <w:rsid w:val="00301F4B"/>
    <w:rsid w:val="003024C3"/>
    <w:rsid w:val="0030389A"/>
    <w:rsid w:val="00305099"/>
    <w:rsid w:val="0030673D"/>
    <w:rsid w:val="003106F4"/>
    <w:rsid w:val="00312AA5"/>
    <w:rsid w:val="003142B7"/>
    <w:rsid w:val="00315935"/>
    <w:rsid w:val="003178FD"/>
    <w:rsid w:val="003221B6"/>
    <w:rsid w:val="00322BCC"/>
    <w:rsid w:val="0032368E"/>
    <w:rsid w:val="00330F19"/>
    <w:rsid w:val="00333C87"/>
    <w:rsid w:val="003420B2"/>
    <w:rsid w:val="003433DB"/>
    <w:rsid w:val="00343DE9"/>
    <w:rsid w:val="003456A5"/>
    <w:rsid w:val="00346AF3"/>
    <w:rsid w:val="003547F4"/>
    <w:rsid w:val="003578CF"/>
    <w:rsid w:val="00357CD8"/>
    <w:rsid w:val="00371A71"/>
    <w:rsid w:val="00373C2B"/>
    <w:rsid w:val="00385418"/>
    <w:rsid w:val="00397CB1"/>
    <w:rsid w:val="003A4142"/>
    <w:rsid w:val="003A4A1A"/>
    <w:rsid w:val="003B2B89"/>
    <w:rsid w:val="003B3BBE"/>
    <w:rsid w:val="003C0C8D"/>
    <w:rsid w:val="003C10D5"/>
    <w:rsid w:val="003C1333"/>
    <w:rsid w:val="003C5799"/>
    <w:rsid w:val="003C6894"/>
    <w:rsid w:val="003D014A"/>
    <w:rsid w:val="003D42C6"/>
    <w:rsid w:val="003D59EC"/>
    <w:rsid w:val="003D7184"/>
    <w:rsid w:val="003E01C8"/>
    <w:rsid w:val="003E575A"/>
    <w:rsid w:val="003F5C6E"/>
    <w:rsid w:val="003F6266"/>
    <w:rsid w:val="003F729D"/>
    <w:rsid w:val="00400EFF"/>
    <w:rsid w:val="004022FF"/>
    <w:rsid w:val="00402E9D"/>
    <w:rsid w:val="00404820"/>
    <w:rsid w:val="004064CD"/>
    <w:rsid w:val="004065D7"/>
    <w:rsid w:val="0040692D"/>
    <w:rsid w:val="00410362"/>
    <w:rsid w:val="00413484"/>
    <w:rsid w:val="00414567"/>
    <w:rsid w:val="00416858"/>
    <w:rsid w:val="00416A44"/>
    <w:rsid w:val="00420829"/>
    <w:rsid w:val="00424A4A"/>
    <w:rsid w:val="004265E9"/>
    <w:rsid w:val="00427A92"/>
    <w:rsid w:val="00430E20"/>
    <w:rsid w:val="00434995"/>
    <w:rsid w:val="004376C7"/>
    <w:rsid w:val="0044638A"/>
    <w:rsid w:val="0045334C"/>
    <w:rsid w:val="00456CD3"/>
    <w:rsid w:val="00457026"/>
    <w:rsid w:val="00457F13"/>
    <w:rsid w:val="00462FB1"/>
    <w:rsid w:val="0046475A"/>
    <w:rsid w:val="00465491"/>
    <w:rsid w:val="00471B48"/>
    <w:rsid w:val="00475748"/>
    <w:rsid w:val="00476DEA"/>
    <w:rsid w:val="00480BF8"/>
    <w:rsid w:val="00483BFF"/>
    <w:rsid w:val="00485F88"/>
    <w:rsid w:val="00487B42"/>
    <w:rsid w:val="00492715"/>
    <w:rsid w:val="00495EA0"/>
    <w:rsid w:val="004969C6"/>
    <w:rsid w:val="004A3738"/>
    <w:rsid w:val="004A4233"/>
    <w:rsid w:val="004B112F"/>
    <w:rsid w:val="004B4428"/>
    <w:rsid w:val="004B51B1"/>
    <w:rsid w:val="004B575C"/>
    <w:rsid w:val="004B6ACD"/>
    <w:rsid w:val="004B796A"/>
    <w:rsid w:val="004B7B55"/>
    <w:rsid w:val="004C049E"/>
    <w:rsid w:val="004C15B5"/>
    <w:rsid w:val="004C2696"/>
    <w:rsid w:val="004C2CB2"/>
    <w:rsid w:val="004C3273"/>
    <w:rsid w:val="004C54BF"/>
    <w:rsid w:val="004C5B7A"/>
    <w:rsid w:val="004C6889"/>
    <w:rsid w:val="004D19BB"/>
    <w:rsid w:val="004D1D1A"/>
    <w:rsid w:val="004D36AA"/>
    <w:rsid w:val="004E0CB5"/>
    <w:rsid w:val="004E2507"/>
    <w:rsid w:val="004E5F22"/>
    <w:rsid w:val="004E7C34"/>
    <w:rsid w:val="004F2321"/>
    <w:rsid w:val="00500364"/>
    <w:rsid w:val="00510594"/>
    <w:rsid w:val="00510AEA"/>
    <w:rsid w:val="0051280A"/>
    <w:rsid w:val="00520232"/>
    <w:rsid w:val="00521504"/>
    <w:rsid w:val="00521B4C"/>
    <w:rsid w:val="005224DC"/>
    <w:rsid w:val="00526617"/>
    <w:rsid w:val="005278B3"/>
    <w:rsid w:val="00531178"/>
    <w:rsid w:val="005319E0"/>
    <w:rsid w:val="005343BC"/>
    <w:rsid w:val="00536278"/>
    <w:rsid w:val="00537541"/>
    <w:rsid w:val="00537F59"/>
    <w:rsid w:val="00552C21"/>
    <w:rsid w:val="00552D37"/>
    <w:rsid w:val="00553754"/>
    <w:rsid w:val="00555FDB"/>
    <w:rsid w:val="00562062"/>
    <w:rsid w:val="00564BE0"/>
    <w:rsid w:val="00571CEB"/>
    <w:rsid w:val="00577700"/>
    <w:rsid w:val="00580C21"/>
    <w:rsid w:val="00581F82"/>
    <w:rsid w:val="0058378A"/>
    <w:rsid w:val="0058452E"/>
    <w:rsid w:val="00585E7D"/>
    <w:rsid w:val="00587F47"/>
    <w:rsid w:val="00595A6D"/>
    <w:rsid w:val="00597AC6"/>
    <w:rsid w:val="00597AD4"/>
    <w:rsid w:val="005A29A4"/>
    <w:rsid w:val="005A70CA"/>
    <w:rsid w:val="005B06C9"/>
    <w:rsid w:val="005B132C"/>
    <w:rsid w:val="005B24B6"/>
    <w:rsid w:val="005B54F7"/>
    <w:rsid w:val="005B5C25"/>
    <w:rsid w:val="005B7439"/>
    <w:rsid w:val="005D384A"/>
    <w:rsid w:val="005E399A"/>
    <w:rsid w:val="005E7001"/>
    <w:rsid w:val="005E7F16"/>
    <w:rsid w:val="005F36AB"/>
    <w:rsid w:val="005F4D90"/>
    <w:rsid w:val="005F7272"/>
    <w:rsid w:val="005F7BDB"/>
    <w:rsid w:val="006000E0"/>
    <w:rsid w:val="0060339A"/>
    <w:rsid w:val="00606587"/>
    <w:rsid w:val="0060727D"/>
    <w:rsid w:val="0061079D"/>
    <w:rsid w:val="006208D7"/>
    <w:rsid w:val="00622BF6"/>
    <w:rsid w:val="00625C3A"/>
    <w:rsid w:val="00627B5C"/>
    <w:rsid w:val="0063025B"/>
    <w:rsid w:val="006318E0"/>
    <w:rsid w:val="00635163"/>
    <w:rsid w:val="00635217"/>
    <w:rsid w:val="00635513"/>
    <w:rsid w:val="00636114"/>
    <w:rsid w:val="00640102"/>
    <w:rsid w:val="00644844"/>
    <w:rsid w:val="00644D45"/>
    <w:rsid w:val="006467C3"/>
    <w:rsid w:val="0065054C"/>
    <w:rsid w:val="00650B19"/>
    <w:rsid w:val="00653BD2"/>
    <w:rsid w:val="00655295"/>
    <w:rsid w:val="006555C5"/>
    <w:rsid w:val="00655AB1"/>
    <w:rsid w:val="00662C13"/>
    <w:rsid w:val="00664F7C"/>
    <w:rsid w:val="006675F9"/>
    <w:rsid w:val="00670838"/>
    <w:rsid w:val="006742A8"/>
    <w:rsid w:val="0067666F"/>
    <w:rsid w:val="00676D7F"/>
    <w:rsid w:val="00682094"/>
    <w:rsid w:val="00682619"/>
    <w:rsid w:val="00684B00"/>
    <w:rsid w:val="00686F44"/>
    <w:rsid w:val="0069096D"/>
    <w:rsid w:val="006958E7"/>
    <w:rsid w:val="0069759F"/>
    <w:rsid w:val="006A17BD"/>
    <w:rsid w:val="006A1E74"/>
    <w:rsid w:val="006A42C6"/>
    <w:rsid w:val="006A539F"/>
    <w:rsid w:val="006A70A5"/>
    <w:rsid w:val="006A787A"/>
    <w:rsid w:val="006B1351"/>
    <w:rsid w:val="006B6678"/>
    <w:rsid w:val="006C0511"/>
    <w:rsid w:val="006C2547"/>
    <w:rsid w:val="006C40A2"/>
    <w:rsid w:val="006C53CA"/>
    <w:rsid w:val="006C5937"/>
    <w:rsid w:val="006C5C4D"/>
    <w:rsid w:val="006C64ED"/>
    <w:rsid w:val="006D4AE9"/>
    <w:rsid w:val="006D68F8"/>
    <w:rsid w:val="006D75B4"/>
    <w:rsid w:val="006E03BC"/>
    <w:rsid w:val="006E1D72"/>
    <w:rsid w:val="006E39BF"/>
    <w:rsid w:val="006F3026"/>
    <w:rsid w:val="0070275A"/>
    <w:rsid w:val="007037E5"/>
    <w:rsid w:val="007044E3"/>
    <w:rsid w:val="00707CC7"/>
    <w:rsid w:val="007139D7"/>
    <w:rsid w:val="0071523A"/>
    <w:rsid w:val="00716C30"/>
    <w:rsid w:val="00717D20"/>
    <w:rsid w:val="00720AA0"/>
    <w:rsid w:val="00721082"/>
    <w:rsid w:val="00723F5E"/>
    <w:rsid w:val="007245F7"/>
    <w:rsid w:val="007304EF"/>
    <w:rsid w:val="007310E6"/>
    <w:rsid w:val="0073718B"/>
    <w:rsid w:val="00744754"/>
    <w:rsid w:val="00755416"/>
    <w:rsid w:val="00757EB9"/>
    <w:rsid w:val="0076444B"/>
    <w:rsid w:val="00765F7F"/>
    <w:rsid w:val="00767643"/>
    <w:rsid w:val="007738DA"/>
    <w:rsid w:val="00776F1F"/>
    <w:rsid w:val="0078014A"/>
    <w:rsid w:val="00783B6F"/>
    <w:rsid w:val="00785319"/>
    <w:rsid w:val="00785CC0"/>
    <w:rsid w:val="00786129"/>
    <w:rsid w:val="0079585B"/>
    <w:rsid w:val="0079592E"/>
    <w:rsid w:val="007A2197"/>
    <w:rsid w:val="007A280F"/>
    <w:rsid w:val="007A38DB"/>
    <w:rsid w:val="007A3AC7"/>
    <w:rsid w:val="007A3F72"/>
    <w:rsid w:val="007A4214"/>
    <w:rsid w:val="007A423A"/>
    <w:rsid w:val="007B4359"/>
    <w:rsid w:val="007C4B45"/>
    <w:rsid w:val="007C6FB4"/>
    <w:rsid w:val="007D1492"/>
    <w:rsid w:val="007D2068"/>
    <w:rsid w:val="007E1FD2"/>
    <w:rsid w:val="007E3889"/>
    <w:rsid w:val="007E6E9D"/>
    <w:rsid w:val="007F024B"/>
    <w:rsid w:val="007F6E9F"/>
    <w:rsid w:val="008013DC"/>
    <w:rsid w:val="00802528"/>
    <w:rsid w:val="00804107"/>
    <w:rsid w:val="00807179"/>
    <w:rsid w:val="00810855"/>
    <w:rsid w:val="008160F5"/>
    <w:rsid w:val="00820969"/>
    <w:rsid w:val="0082144C"/>
    <w:rsid w:val="00824780"/>
    <w:rsid w:val="00826782"/>
    <w:rsid w:val="0082749C"/>
    <w:rsid w:val="00827829"/>
    <w:rsid w:val="00827A32"/>
    <w:rsid w:val="00830C78"/>
    <w:rsid w:val="0083293B"/>
    <w:rsid w:val="00833001"/>
    <w:rsid w:val="008448CD"/>
    <w:rsid w:val="00853C7F"/>
    <w:rsid w:val="008548D9"/>
    <w:rsid w:val="00854DEF"/>
    <w:rsid w:val="00855904"/>
    <w:rsid w:val="008569E8"/>
    <w:rsid w:val="0086401A"/>
    <w:rsid w:val="008657DC"/>
    <w:rsid w:val="00870846"/>
    <w:rsid w:val="00874935"/>
    <w:rsid w:val="0087619D"/>
    <w:rsid w:val="0088076B"/>
    <w:rsid w:val="00882B01"/>
    <w:rsid w:val="00887C60"/>
    <w:rsid w:val="0089078B"/>
    <w:rsid w:val="00891539"/>
    <w:rsid w:val="00892DD6"/>
    <w:rsid w:val="00894C4C"/>
    <w:rsid w:val="008A3E2B"/>
    <w:rsid w:val="008A4526"/>
    <w:rsid w:val="008A70D5"/>
    <w:rsid w:val="008B12AD"/>
    <w:rsid w:val="008B14CC"/>
    <w:rsid w:val="008C032A"/>
    <w:rsid w:val="008C0BAC"/>
    <w:rsid w:val="008C28C5"/>
    <w:rsid w:val="008C46B0"/>
    <w:rsid w:val="008C4E62"/>
    <w:rsid w:val="008C5F37"/>
    <w:rsid w:val="008C624E"/>
    <w:rsid w:val="008D2795"/>
    <w:rsid w:val="008D2960"/>
    <w:rsid w:val="008D36B2"/>
    <w:rsid w:val="008D39F8"/>
    <w:rsid w:val="008D463B"/>
    <w:rsid w:val="008D795B"/>
    <w:rsid w:val="008E4A81"/>
    <w:rsid w:val="008E5788"/>
    <w:rsid w:val="008E5FAF"/>
    <w:rsid w:val="008E766F"/>
    <w:rsid w:val="008F34CB"/>
    <w:rsid w:val="008F43C9"/>
    <w:rsid w:val="008F73DC"/>
    <w:rsid w:val="009000D6"/>
    <w:rsid w:val="00903636"/>
    <w:rsid w:val="00905E80"/>
    <w:rsid w:val="0091056F"/>
    <w:rsid w:val="00913B5F"/>
    <w:rsid w:val="00916B98"/>
    <w:rsid w:val="00917E1F"/>
    <w:rsid w:val="009210C2"/>
    <w:rsid w:val="00927423"/>
    <w:rsid w:val="0093325B"/>
    <w:rsid w:val="009416C8"/>
    <w:rsid w:val="00942643"/>
    <w:rsid w:val="00942B9B"/>
    <w:rsid w:val="00942CFC"/>
    <w:rsid w:val="009473F1"/>
    <w:rsid w:val="00954612"/>
    <w:rsid w:val="00956C5A"/>
    <w:rsid w:val="0096372F"/>
    <w:rsid w:val="009659BE"/>
    <w:rsid w:val="009719F4"/>
    <w:rsid w:val="00971EAC"/>
    <w:rsid w:val="009822CD"/>
    <w:rsid w:val="00983C2B"/>
    <w:rsid w:val="009853B0"/>
    <w:rsid w:val="00985B6F"/>
    <w:rsid w:val="009862C8"/>
    <w:rsid w:val="0099216D"/>
    <w:rsid w:val="009928E5"/>
    <w:rsid w:val="009932A8"/>
    <w:rsid w:val="009966E7"/>
    <w:rsid w:val="00996B3E"/>
    <w:rsid w:val="00996BDC"/>
    <w:rsid w:val="009974F4"/>
    <w:rsid w:val="009A3685"/>
    <w:rsid w:val="009A3B98"/>
    <w:rsid w:val="009A6E18"/>
    <w:rsid w:val="009A7547"/>
    <w:rsid w:val="009B3AB9"/>
    <w:rsid w:val="009C06CF"/>
    <w:rsid w:val="009C0E90"/>
    <w:rsid w:val="009C30DC"/>
    <w:rsid w:val="009C3951"/>
    <w:rsid w:val="009D03F5"/>
    <w:rsid w:val="009D1E36"/>
    <w:rsid w:val="009D423D"/>
    <w:rsid w:val="009D522F"/>
    <w:rsid w:val="009D55B7"/>
    <w:rsid w:val="009E1642"/>
    <w:rsid w:val="009E3F37"/>
    <w:rsid w:val="009E41CB"/>
    <w:rsid w:val="009E4F46"/>
    <w:rsid w:val="009E7064"/>
    <w:rsid w:val="009E753A"/>
    <w:rsid w:val="009F04B9"/>
    <w:rsid w:val="009F77F0"/>
    <w:rsid w:val="009F7F48"/>
    <w:rsid w:val="00A059D1"/>
    <w:rsid w:val="00A10071"/>
    <w:rsid w:val="00A13482"/>
    <w:rsid w:val="00A15629"/>
    <w:rsid w:val="00A22B09"/>
    <w:rsid w:val="00A246B8"/>
    <w:rsid w:val="00A26032"/>
    <w:rsid w:val="00A27264"/>
    <w:rsid w:val="00A2746D"/>
    <w:rsid w:val="00A32DAB"/>
    <w:rsid w:val="00A346BB"/>
    <w:rsid w:val="00A35599"/>
    <w:rsid w:val="00A37D78"/>
    <w:rsid w:val="00A4133D"/>
    <w:rsid w:val="00A44E10"/>
    <w:rsid w:val="00A45E7F"/>
    <w:rsid w:val="00A47231"/>
    <w:rsid w:val="00A54159"/>
    <w:rsid w:val="00A55385"/>
    <w:rsid w:val="00A557FA"/>
    <w:rsid w:val="00A57DB7"/>
    <w:rsid w:val="00A63D7A"/>
    <w:rsid w:val="00A663EB"/>
    <w:rsid w:val="00A66AC5"/>
    <w:rsid w:val="00A73367"/>
    <w:rsid w:val="00A74D98"/>
    <w:rsid w:val="00A75269"/>
    <w:rsid w:val="00A75D02"/>
    <w:rsid w:val="00A86363"/>
    <w:rsid w:val="00A95B81"/>
    <w:rsid w:val="00A967A0"/>
    <w:rsid w:val="00A96B73"/>
    <w:rsid w:val="00A97774"/>
    <w:rsid w:val="00AA0268"/>
    <w:rsid w:val="00AA13E2"/>
    <w:rsid w:val="00AA53E6"/>
    <w:rsid w:val="00AA5533"/>
    <w:rsid w:val="00AA5C5D"/>
    <w:rsid w:val="00AA62A7"/>
    <w:rsid w:val="00AA737E"/>
    <w:rsid w:val="00AA7FAE"/>
    <w:rsid w:val="00AB1AA3"/>
    <w:rsid w:val="00AB6CFE"/>
    <w:rsid w:val="00AB7245"/>
    <w:rsid w:val="00AC1E42"/>
    <w:rsid w:val="00AC5764"/>
    <w:rsid w:val="00AD02F5"/>
    <w:rsid w:val="00AD0EB4"/>
    <w:rsid w:val="00AD41D0"/>
    <w:rsid w:val="00AD62C4"/>
    <w:rsid w:val="00AD707C"/>
    <w:rsid w:val="00AD723C"/>
    <w:rsid w:val="00AD7CD9"/>
    <w:rsid w:val="00AE0D85"/>
    <w:rsid w:val="00AE10E9"/>
    <w:rsid w:val="00AE13CD"/>
    <w:rsid w:val="00AE2FF4"/>
    <w:rsid w:val="00AE4F6E"/>
    <w:rsid w:val="00AE7308"/>
    <w:rsid w:val="00AE7DEA"/>
    <w:rsid w:val="00B052F7"/>
    <w:rsid w:val="00B10462"/>
    <w:rsid w:val="00B13715"/>
    <w:rsid w:val="00B13C74"/>
    <w:rsid w:val="00B15E0D"/>
    <w:rsid w:val="00B17ADC"/>
    <w:rsid w:val="00B214D4"/>
    <w:rsid w:val="00B21D40"/>
    <w:rsid w:val="00B2356E"/>
    <w:rsid w:val="00B25740"/>
    <w:rsid w:val="00B312AE"/>
    <w:rsid w:val="00B325B4"/>
    <w:rsid w:val="00B35025"/>
    <w:rsid w:val="00B36B14"/>
    <w:rsid w:val="00B37D35"/>
    <w:rsid w:val="00B40BDA"/>
    <w:rsid w:val="00B40EFA"/>
    <w:rsid w:val="00B424F1"/>
    <w:rsid w:val="00B43CDF"/>
    <w:rsid w:val="00B53998"/>
    <w:rsid w:val="00B60C3D"/>
    <w:rsid w:val="00B64CC4"/>
    <w:rsid w:val="00B66B55"/>
    <w:rsid w:val="00B70F04"/>
    <w:rsid w:val="00B72114"/>
    <w:rsid w:val="00B73602"/>
    <w:rsid w:val="00B7399E"/>
    <w:rsid w:val="00B739E9"/>
    <w:rsid w:val="00B73C3F"/>
    <w:rsid w:val="00B74368"/>
    <w:rsid w:val="00B75C77"/>
    <w:rsid w:val="00B8502A"/>
    <w:rsid w:val="00B908E6"/>
    <w:rsid w:val="00B90FDB"/>
    <w:rsid w:val="00B918F3"/>
    <w:rsid w:val="00B91AAD"/>
    <w:rsid w:val="00B92031"/>
    <w:rsid w:val="00B92F56"/>
    <w:rsid w:val="00B9341C"/>
    <w:rsid w:val="00BA2E1D"/>
    <w:rsid w:val="00BA2F97"/>
    <w:rsid w:val="00BA4A5F"/>
    <w:rsid w:val="00BA5384"/>
    <w:rsid w:val="00BA714A"/>
    <w:rsid w:val="00BA7323"/>
    <w:rsid w:val="00BB397E"/>
    <w:rsid w:val="00BB6706"/>
    <w:rsid w:val="00BC0771"/>
    <w:rsid w:val="00BC26D4"/>
    <w:rsid w:val="00BC514C"/>
    <w:rsid w:val="00BC6E5F"/>
    <w:rsid w:val="00BD379C"/>
    <w:rsid w:val="00BD6454"/>
    <w:rsid w:val="00BD7745"/>
    <w:rsid w:val="00BE0837"/>
    <w:rsid w:val="00BE12FB"/>
    <w:rsid w:val="00BE327E"/>
    <w:rsid w:val="00BE546D"/>
    <w:rsid w:val="00BE7649"/>
    <w:rsid w:val="00BF18B3"/>
    <w:rsid w:val="00BF2715"/>
    <w:rsid w:val="00BF36A2"/>
    <w:rsid w:val="00BF4200"/>
    <w:rsid w:val="00BF4C3B"/>
    <w:rsid w:val="00BF5645"/>
    <w:rsid w:val="00BF7205"/>
    <w:rsid w:val="00C01B2F"/>
    <w:rsid w:val="00C05A48"/>
    <w:rsid w:val="00C06309"/>
    <w:rsid w:val="00C1535B"/>
    <w:rsid w:val="00C1693F"/>
    <w:rsid w:val="00C1752A"/>
    <w:rsid w:val="00C229B3"/>
    <w:rsid w:val="00C24843"/>
    <w:rsid w:val="00C27BD6"/>
    <w:rsid w:val="00C36475"/>
    <w:rsid w:val="00C41B71"/>
    <w:rsid w:val="00C43E68"/>
    <w:rsid w:val="00C44E1A"/>
    <w:rsid w:val="00C46C38"/>
    <w:rsid w:val="00C55187"/>
    <w:rsid w:val="00C55857"/>
    <w:rsid w:val="00C571AA"/>
    <w:rsid w:val="00C60B3B"/>
    <w:rsid w:val="00C67B68"/>
    <w:rsid w:val="00C7474C"/>
    <w:rsid w:val="00C808B4"/>
    <w:rsid w:val="00C85E17"/>
    <w:rsid w:val="00C86643"/>
    <w:rsid w:val="00C86B72"/>
    <w:rsid w:val="00C92B9C"/>
    <w:rsid w:val="00C9731E"/>
    <w:rsid w:val="00CA17E1"/>
    <w:rsid w:val="00CA35FB"/>
    <w:rsid w:val="00CA5CFC"/>
    <w:rsid w:val="00CA6786"/>
    <w:rsid w:val="00CB0D09"/>
    <w:rsid w:val="00CB27E5"/>
    <w:rsid w:val="00CB3EED"/>
    <w:rsid w:val="00CC2687"/>
    <w:rsid w:val="00CC39B9"/>
    <w:rsid w:val="00CC3A19"/>
    <w:rsid w:val="00CC7628"/>
    <w:rsid w:val="00CD0E5F"/>
    <w:rsid w:val="00CD4B6C"/>
    <w:rsid w:val="00CE0698"/>
    <w:rsid w:val="00CE08A1"/>
    <w:rsid w:val="00CE185F"/>
    <w:rsid w:val="00CE3277"/>
    <w:rsid w:val="00CE6D4B"/>
    <w:rsid w:val="00CF4337"/>
    <w:rsid w:val="00CF5549"/>
    <w:rsid w:val="00CF5973"/>
    <w:rsid w:val="00CF5D52"/>
    <w:rsid w:val="00CF7CBA"/>
    <w:rsid w:val="00D00D55"/>
    <w:rsid w:val="00D01DF8"/>
    <w:rsid w:val="00D051CD"/>
    <w:rsid w:val="00D05205"/>
    <w:rsid w:val="00D10EFD"/>
    <w:rsid w:val="00D114D3"/>
    <w:rsid w:val="00D14131"/>
    <w:rsid w:val="00D15B1B"/>
    <w:rsid w:val="00D16F69"/>
    <w:rsid w:val="00D25876"/>
    <w:rsid w:val="00D26DE9"/>
    <w:rsid w:val="00D30268"/>
    <w:rsid w:val="00D31093"/>
    <w:rsid w:val="00D37C4A"/>
    <w:rsid w:val="00D41505"/>
    <w:rsid w:val="00D41618"/>
    <w:rsid w:val="00D43327"/>
    <w:rsid w:val="00D4570A"/>
    <w:rsid w:val="00D507B0"/>
    <w:rsid w:val="00D50AB8"/>
    <w:rsid w:val="00D52070"/>
    <w:rsid w:val="00D52C3D"/>
    <w:rsid w:val="00D530C5"/>
    <w:rsid w:val="00D53C80"/>
    <w:rsid w:val="00D54220"/>
    <w:rsid w:val="00D544E8"/>
    <w:rsid w:val="00D62BAA"/>
    <w:rsid w:val="00D62EA9"/>
    <w:rsid w:val="00D65714"/>
    <w:rsid w:val="00D75E4D"/>
    <w:rsid w:val="00D82B1C"/>
    <w:rsid w:val="00D82C4A"/>
    <w:rsid w:val="00D83CD0"/>
    <w:rsid w:val="00D84013"/>
    <w:rsid w:val="00D905C1"/>
    <w:rsid w:val="00D91E0C"/>
    <w:rsid w:val="00D91F85"/>
    <w:rsid w:val="00D92E56"/>
    <w:rsid w:val="00D943BC"/>
    <w:rsid w:val="00D96A64"/>
    <w:rsid w:val="00DA09EF"/>
    <w:rsid w:val="00DA539A"/>
    <w:rsid w:val="00DA59D2"/>
    <w:rsid w:val="00DA5A07"/>
    <w:rsid w:val="00DB1999"/>
    <w:rsid w:val="00DB35CD"/>
    <w:rsid w:val="00DB4F87"/>
    <w:rsid w:val="00DB6CF1"/>
    <w:rsid w:val="00DC092C"/>
    <w:rsid w:val="00DC0ECF"/>
    <w:rsid w:val="00DC6D94"/>
    <w:rsid w:val="00DD2A7C"/>
    <w:rsid w:val="00DD2E6A"/>
    <w:rsid w:val="00DD7111"/>
    <w:rsid w:val="00DD717A"/>
    <w:rsid w:val="00DE00F8"/>
    <w:rsid w:val="00DE2276"/>
    <w:rsid w:val="00DE2F5F"/>
    <w:rsid w:val="00DE3230"/>
    <w:rsid w:val="00DE5024"/>
    <w:rsid w:val="00DE6136"/>
    <w:rsid w:val="00E0264E"/>
    <w:rsid w:val="00E04DEC"/>
    <w:rsid w:val="00E07A92"/>
    <w:rsid w:val="00E07FAA"/>
    <w:rsid w:val="00E10E6F"/>
    <w:rsid w:val="00E20963"/>
    <w:rsid w:val="00E24B83"/>
    <w:rsid w:val="00E27233"/>
    <w:rsid w:val="00E30ED1"/>
    <w:rsid w:val="00E3167A"/>
    <w:rsid w:val="00E32212"/>
    <w:rsid w:val="00E33859"/>
    <w:rsid w:val="00E37748"/>
    <w:rsid w:val="00E43BB8"/>
    <w:rsid w:val="00E4413F"/>
    <w:rsid w:val="00E4626F"/>
    <w:rsid w:val="00E53CAF"/>
    <w:rsid w:val="00E574B1"/>
    <w:rsid w:val="00E62E20"/>
    <w:rsid w:val="00E6744F"/>
    <w:rsid w:val="00E67D84"/>
    <w:rsid w:val="00E70919"/>
    <w:rsid w:val="00E71411"/>
    <w:rsid w:val="00E71479"/>
    <w:rsid w:val="00E71496"/>
    <w:rsid w:val="00E726E0"/>
    <w:rsid w:val="00E7435D"/>
    <w:rsid w:val="00E744F5"/>
    <w:rsid w:val="00E76FEA"/>
    <w:rsid w:val="00E77241"/>
    <w:rsid w:val="00E7770B"/>
    <w:rsid w:val="00E80547"/>
    <w:rsid w:val="00E8247D"/>
    <w:rsid w:val="00E8573F"/>
    <w:rsid w:val="00E85C76"/>
    <w:rsid w:val="00E86798"/>
    <w:rsid w:val="00E876BA"/>
    <w:rsid w:val="00E93201"/>
    <w:rsid w:val="00E9378D"/>
    <w:rsid w:val="00E96ECC"/>
    <w:rsid w:val="00E9700E"/>
    <w:rsid w:val="00EA0498"/>
    <w:rsid w:val="00EA0F70"/>
    <w:rsid w:val="00EA2C83"/>
    <w:rsid w:val="00EA35B2"/>
    <w:rsid w:val="00EB0248"/>
    <w:rsid w:val="00EB0789"/>
    <w:rsid w:val="00EB29F8"/>
    <w:rsid w:val="00EB46FC"/>
    <w:rsid w:val="00EB5D91"/>
    <w:rsid w:val="00EC0FBD"/>
    <w:rsid w:val="00EC3062"/>
    <w:rsid w:val="00EC6595"/>
    <w:rsid w:val="00EC77B9"/>
    <w:rsid w:val="00EC78A7"/>
    <w:rsid w:val="00ED2E1B"/>
    <w:rsid w:val="00ED63A8"/>
    <w:rsid w:val="00ED7D1D"/>
    <w:rsid w:val="00EE033F"/>
    <w:rsid w:val="00EE03EE"/>
    <w:rsid w:val="00EE0FEF"/>
    <w:rsid w:val="00EE10D4"/>
    <w:rsid w:val="00EE1D43"/>
    <w:rsid w:val="00EE2F8A"/>
    <w:rsid w:val="00EE44CD"/>
    <w:rsid w:val="00EF3971"/>
    <w:rsid w:val="00EF401A"/>
    <w:rsid w:val="00EF40D3"/>
    <w:rsid w:val="00F01006"/>
    <w:rsid w:val="00F05428"/>
    <w:rsid w:val="00F076D4"/>
    <w:rsid w:val="00F12F91"/>
    <w:rsid w:val="00F13962"/>
    <w:rsid w:val="00F14261"/>
    <w:rsid w:val="00F22F25"/>
    <w:rsid w:val="00F25DDF"/>
    <w:rsid w:val="00F27546"/>
    <w:rsid w:val="00F277AE"/>
    <w:rsid w:val="00F27B92"/>
    <w:rsid w:val="00F34375"/>
    <w:rsid w:val="00F350F6"/>
    <w:rsid w:val="00F3627D"/>
    <w:rsid w:val="00F36314"/>
    <w:rsid w:val="00F4314D"/>
    <w:rsid w:val="00F44115"/>
    <w:rsid w:val="00F443AA"/>
    <w:rsid w:val="00F45955"/>
    <w:rsid w:val="00F45D10"/>
    <w:rsid w:val="00F51AEC"/>
    <w:rsid w:val="00F53571"/>
    <w:rsid w:val="00F555DD"/>
    <w:rsid w:val="00F574F1"/>
    <w:rsid w:val="00F5794C"/>
    <w:rsid w:val="00F64795"/>
    <w:rsid w:val="00F67028"/>
    <w:rsid w:val="00F70E36"/>
    <w:rsid w:val="00F71221"/>
    <w:rsid w:val="00F71F52"/>
    <w:rsid w:val="00F73F7E"/>
    <w:rsid w:val="00F74456"/>
    <w:rsid w:val="00F74493"/>
    <w:rsid w:val="00F764A2"/>
    <w:rsid w:val="00F77190"/>
    <w:rsid w:val="00F8299C"/>
    <w:rsid w:val="00F829C0"/>
    <w:rsid w:val="00F84122"/>
    <w:rsid w:val="00F87BE3"/>
    <w:rsid w:val="00F87F55"/>
    <w:rsid w:val="00F939FF"/>
    <w:rsid w:val="00F97056"/>
    <w:rsid w:val="00FA307A"/>
    <w:rsid w:val="00FA3F10"/>
    <w:rsid w:val="00FA5D27"/>
    <w:rsid w:val="00FA6858"/>
    <w:rsid w:val="00FA6C89"/>
    <w:rsid w:val="00FA7EF9"/>
    <w:rsid w:val="00FB16A0"/>
    <w:rsid w:val="00FB703B"/>
    <w:rsid w:val="00FC1E35"/>
    <w:rsid w:val="00FC4ED6"/>
    <w:rsid w:val="00FC6583"/>
    <w:rsid w:val="00FD0F5F"/>
    <w:rsid w:val="00FD1A8C"/>
    <w:rsid w:val="00FD1C6B"/>
    <w:rsid w:val="00FE3CF6"/>
    <w:rsid w:val="00FE5A1C"/>
    <w:rsid w:val="00FF6EBD"/>
    <w:rsid w:val="00FF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2B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E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2E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BE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510AEA"/>
  </w:style>
  <w:style w:type="character" w:styleId="Hyperlink">
    <w:name w:val="Hyperlink"/>
    <w:basedOn w:val="DefaultParagraphFont"/>
    <w:uiPriority w:val="99"/>
    <w:unhideWhenUsed/>
    <w:rsid w:val="00510AEA"/>
    <w:rPr>
      <w:color w:val="0000FF"/>
      <w:u w:val="single"/>
    </w:rPr>
  </w:style>
  <w:style w:type="paragraph" w:styleId="ListParagraph">
    <w:name w:val="List Paragraph"/>
    <w:basedOn w:val="Normal"/>
    <w:uiPriority w:val="34"/>
    <w:qFormat/>
    <w:rsid w:val="00510AEA"/>
    <w:pPr>
      <w:ind w:left="720"/>
      <w:contextualSpacing/>
    </w:pPr>
  </w:style>
  <w:style w:type="paragraph" w:styleId="FootnoteText">
    <w:name w:val="footnote text"/>
    <w:basedOn w:val="Normal"/>
    <w:link w:val="FootnoteTextChar"/>
    <w:uiPriority w:val="99"/>
    <w:semiHidden/>
    <w:unhideWhenUsed/>
    <w:rsid w:val="00E62E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E20"/>
    <w:rPr>
      <w:sz w:val="20"/>
      <w:szCs w:val="20"/>
    </w:rPr>
  </w:style>
  <w:style w:type="character" w:styleId="FootnoteReference">
    <w:name w:val="footnote reference"/>
    <w:basedOn w:val="DefaultParagraphFont"/>
    <w:uiPriority w:val="99"/>
    <w:semiHidden/>
    <w:unhideWhenUsed/>
    <w:rsid w:val="00E62E20"/>
    <w:rPr>
      <w:vertAlign w:val="superscript"/>
    </w:rPr>
  </w:style>
  <w:style w:type="table" w:styleId="TableGrid">
    <w:name w:val="Table Grid"/>
    <w:basedOn w:val="TableNormal"/>
    <w:uiPriority w:val="59"/>
    <w:rsid w:val="00E6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62E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62E2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62E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6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E9D"/>
    <w:rPr>
      <w:rFonts w:ascii="Tahoma" w:hAnsi="Tahoma" w:cs="Tahoma"/>
      <w:sz w:val="16"/>
      <w:szCs w:val="16"/>
    </w:rPr>
  </w:style>
  <w:style w:type="paragraph" w:customStyle="1" w:styleId="Default">
    <w:name w:val="Default"/>
    <w:rsid w:val="00271AB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06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92D"/>
  </w:style>
  <w:style w:type="paragraph" w:styleId="Footer">
    <w:name w:val="footer"/>
    <w:basedOn w:val="Normal"/>
    <w:link w:val="FooterChar"/>
    <w:uiPriority w:val="99"/>
    <w:unhideWhenUsed/>
    <w:rsid w:val="00406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92D"/>
  </w:style>
  <w:style w:type="character" w:styleId="CommentReference">
    <w:name w:val="annotation reference"/>
    <w:basedOn w:val="DefaultParagraphFont"/>
    <w:uiPriority w:val="99"/>
    <w:semiHidden/>
    <w:unhideWhenUsed/>
    <w:rsid w:val="009719F4"/>
    <w:rPr>
      <w:sz w:val="16"/>
      <w:szCs w:val="16"/>
    </w:rPr>
  </w:style>
  <w:style w:type="paragraph" w:styleId="CommentText">
    <w:name w:val="annotation text"/>
    <w:basedOn w:val="Normal"/>
    <w:link w:val="CommentTextChar"/>
    <w:uiPriority w:val="99"/>
    <w:semiHidden/>
    <w:unhideWhenUsed/>
    <w:rsid w:val="009719F4"/>
    <w:pPr>
      <w:spacing w:line="240" w:lineRule="auto"/>
    </w:pPr>
    <w:rPr>
      <w:sz w:val="20"/>
      <w:szCs w:val="20"/>
    </w:rPr>
  </w:style>
  <w:style w:type="character" w:customStyle="1" w:styleId="CommentTextChar">
    <w:name w:val="Comment Text Char"/>
    <w:basedOn w:val="DefaultParagraphFont"/>
    <w:link w:val="CommentText"/>
    <w:uiPriority w:val="99"/>
    <w:semiHidden/>
    <w:rsid w:val="009719F4"/>
    <w:rPr>
      <w:sz w:val="20"/>
      <w:szCs w:val="20"/>
    </w:rPr>
  </w:style>
  <w:style w:type="paragraph" w:styleId="CommentSubject">
    <w:name w:val="annotation subject"/>
    <w:basedOn w:val="CommentText"/>
    <w:next w:val="CommentText"/>
    <w:link w:val="CommentSubjectChar"/>
    <w:uiPriority w:val="99"/>
    <w:semiHidden/>
    <w:unhideWhenUsed/>
    <w:rsid w:val="009719F4"/>
    <w:rPr>
      <w:b/>
      <w:bCs/>
    </w:rPr>
  </w:style>
  <w:style w:type="character" w:customStyle="1" w:styleId="CommentSubjectChar">
    <w:name w:val="Comment Subject Char"/>
    <w:basedOn w:val="CommentTextChar"/>
    <w:link w:val="CommentSubject"/>
    <w:uiPriority w:val="99"/>
    <w:semiHidden/>
    <w:rsid w:val="009719F4"/>
    <w:rPr>
      <w:b/>
      <w:bCs/>
      <w:sz w:val="20"/>
      <w:szCs w:val="20"/>
    </w:rPr>
  </w:style>
  <w:style w:type="paragraph" w:styleId="Revision">
    <w:name w:val="Revision"/>
    <w:hidden/>
    <w:uiPriority w:val="99"/>
    <w:semiHidden/>
    <w:rsid w:val="007139D7"/>
    <w:pPr>
      <w:spacing w:after="0" w:line="240" w:lineRule="auto"/>
    </w:pPr>
  </w:style>
  <w:style w:type="paragraph" w:styleId="TOCHeading">
    <w:name w:val="TOC Heading"/>
    <w:basedOn w:val="Heading1"/>
    <w:next w:val="Normal"/>
    <w:uiPriority w:val="39"/>
    <w:unhideWhenUsed/>
    <w:qFormat/>
    <w:rsid w:val="00D943BC"/>
    <w:pPr>
      <w:outlineLvl w:val="9"/>
    </w:pPr>
    <w:rPr>
      <w:lang w:eastAsia="ja-JP"/>
    </w:rPr>
  </w:style>
  <w:style w:type="paragraph" w:styleId="TOC1">
    <w:name w:val="toc 1"/>
    <w:basedOn w:val="Normal"/>
    <w:next w:val="Normal"/>
    <w:autoRedefine/>
    <w:uiPriority w:val="39"/>
    <w:unhideWhenUsed/>
    <w:rsid w:val="00635217"/>
    <w:pPr>
      <w:tabs>
        <w:tab w:val="left" w:pos="440"/>
        <w:tab w:val="left" w:pos="6930"/>
        <w:tab w:val="right" w:leader="dot" w:pos="9350"/>
      </w:tabs>
      <w:spacing w:after="100"/>
    </w:pPr>
  </w:style>
  <w:style w:type="paragraph" w:styleId="TOC2">
    <w:name w:val="toc 2"/>
    <w:basedOn w:val="Normal"/>
    <w:next w:val="Normal"/>
    <w:autoRedefine/>
    <w:uiPriority w:val="39"/>
    <w:unhideWhenUsed/>
    <w:rsid w:val="00201062"/>
    <w:pPr>
      <w:spacing w:after="100"/>
      <w:ind w:left="220"/>
    </w:pPr>
  </w:style>
  <w:style w:type="character" w:styleId="FollowedHyperlink">
    <w:name w:val="FollowedHyperlink"/>
    <w:basedOn w:val="DefaultParagraphFont"/>
    <w:uiPriority w:val="99"/>
    <w:semiHidden/>
    <w:unhideWhenUsed/>
    <w:rsid w:val="00F459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2B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E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2E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BE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510AEA"/>
  </w:style>
  <w:style w:type="character" w:styleId="Hyperlink">
    <w:name w:val="Hyperlink"/>
    <w:basedOn w:val="DefaultParagraphFont"/>
    <w:uiPriority w:val="99"/>
    <w:unhideWhenUsed/>
    <w:rsid w:val="00510AEA"/>
    <w:rPr>
      <w:color w:val="0000FF"/>
      <w:u w:val="single"/>
    </w:rPr>
  </w:style>
  <w:style w:type="paragraph" w:styleId="ListParagraph">
    <w:name w:val="List Paragraph"/>
    <w:basedOn w:val="Normal"/>
    <w:uiPriority w:val="34"/>
    <w:qFormat/>
    <w:rsid w:val="00510AEA"/>
    <w:pPr>
      <w:ind w:left="720"/>
      <w:contextualSpacing/>
    </w:pPr>
  </w:style>
  <w:style w:type="paragraph" w:styleId="FootnoteText">
    <w:name w:val="footnote text"/>
    <w:basedOn w:val="Normal"/>
    <w:link w:val="FootnoteTextChar"/>
    <w:uiPriority w:val="99"/>
    <w:semiHidden/>
    <w:unhideWhenUsed/>
    <w:rsid w:val="00E62E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E20"/>
    <w:rPr>
      <w:sz w:val="20"/>
      <w:szCs w:val="20"/>
    </w:rPr>
  </w:style>
  <w:style w:type="character" w:styleId="FootnoteReference">
    <w:name w:val="footnote reference"/>
    <w:basedOn w:val="DefaultParagraphFont"/>
    <w:uiPriority w:val="99"/>
    <w:semiHidden/>
    <w:unhideWhenUsed/>
    <w:rsid w:val="00E62E20"/>
    <w:rPr>
      <w:vertAlign w:val="superscript"/>
    </w:rPr>
  </w:style>
  <w:style w:type="table" w:styleId="TableGrid">
    <w:name w:val="Table Grid"/>
    <w:basedOn w:val="TableNormal"/>
    <w:uiPriority w:val="59"/>
    <w:rsid w:val="00E6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62E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62E2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62E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6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E9D"/>
    <w:rPr>
      <w:rFonts w:ascii="Tahoma" w:hAnsi="Tahoma" w:cs="Tahoma"/>
      <w:sz w:val="16"/>
      <w:szCs w:val="16"/>
    </w:rPr>
  </w:style>
  <w:style w:type="paragraph" w:customStyle="1" w:styleId="Default">
    <w:name w:val="Default"/>
    <w:rsid w:val="00271AB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06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92D"/>
  </w:style>
  <w:style w:type="paragraph" w:styleId="Footer">
    <w:name w:val="footer"/>
    <w:basedOn w:val="Normal"/>
    <w:link w:val="FooterChar"/>
    <w:uiPriority w:val="99"/>
    <w:unhideWhenUsed/>
    <w:rsid w:val="00406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92D"/>
  </w:style>
  <w:style w:type="character" w:styleId="CommentReference">
    <w:name w:val="annotation reference"/>
    <w:basedOn w:val="DefaultParagraphFont"/>
    <w:uiPriority w:val="99"/>
    <w:semiHidden/>
    <w:unhideWhenUsed/>
    <w:rsid w:val="009719F4"/>
    <w:rPr>
      <w:sz w:val="16"/>
      <w:szCs w:val="16"/>
    </w:rPr>
  </w:style>
  <w:style w:type="paragraph" w:styleId="CommentText">
    <w:name w:val="annotation text"/>
    <w:basedOn w:val="Normal"/>
    <w:link w:val="CommentTextChar"/>
    <w:uiPriority w:val="99"/>
    <w:semiHidden/>
    <w:unhideWhenUsed/>
    <w:rsid w:val="009719F4"/>
    <w:pPr>
      <w:spacing w:line="240" w:lineRule="auto"/>
    </w:pPr>
    <w:rPr>
      <w:sz w:val="20"/>
      <w:szCs w:val="20"/>
    </w:rPr>
  </w:style>
  <w:style w:type="character" w:customStyle="1" w:styleId="CommentTextChar">
    <w:name w:val="Comment Text Char"/>
    <w:basedOn w:val="DefaultParagraphFont"/>
    <w:link w:val="CommentText"/>
    <w:uiPriority w:val="99"/>
    <w:semiHidden/>
    <w:rsid w:val="009719F4"/>
    <w:rPr>
      <w:sz w:val="20"/>
      <w:szCs w:val="20"/>
    </w:rPr>
  </w:style>
  <w:style w:type="paragraph" w:styleId="CommentSubject">
    <w:name w:val="annotation subject"/>
    <w:basedOn w:val="CommentText"/>
    <w:next w:val="CommentText"/>
    <w:link w:val="CommentSubjectChar"/>
    <w:uiPriority w:val="99"/>
    <w:semiHidden/>
    <w:unhideWhenUsed/>
    <w:rsid w:val="009719F4"/>
    <w:rPr>
      <w:b/>
      <w:bCs/>
    </w:rPr>
  </w:style>
  <w:style w:type="character" w:customStyle="1" w:styleId="CommentSubjectChar">
    <w:name w:val="Comment Subject Char"/>
    <w:basedOn w:val="CommentTextChar"/>
    <w:link w:val="CommentSubject"/>
    <w:uiPriority w:val="99"/>
    <w:semiHidden/>
    <w:rsid w:val="009719F4"/>
    <w:rPr>
      <w:b/>
      <w:bCs/>
      <w:sz w:val="20"/>
      <w:szCs w:val="20"/>
    </w:rPr>
  </w:style>
  <w:style w:type="paragraph" w:styleId="Revision">
    <w:name w:val="Revision"/>
    <w:hidden/>
    <w:uiPriority w:val="99"/>
    <w:semiHidden/>
    <w:rsid w:val="007139D7"/>
    <w:pPr>
      <w:spacing w:after="0" w:line="240" w:lineRule="auto"/>
    </w:pPr>
  </w:style>
  <w:style w:type="paragraph" w:styleId="TOCHeading">
    <w:name w:val="TOC Heading"/>
    <w:basedOn w:val="Heading1"/>
    <w:next w:val="Normal"/>
    <w:uiPriority w:val="39"/>
    <w:unhideWhenUsed/>
    <w:qFormat/>
    <w:rsid w:val="00D943BC"/>
    <w:pPr>
      <w:outlineLvl w:val="9"/>
    </w:pPr>
    <w:rPr>
      <w:lang w:eastAsia="ja-JP"/>
    </w:rPr>
  </w:style>
  <w:style w:type="paragraph" w:styleId="TOC1">
    <w:name w:val="toc 1"/>
    <w:basedOn w:val="Normal"/>
    <w:next w:val="Normal"/>
    <w:autoRedefine/>
    <w:uiPriority w:val="39"/>
    <w:unhideWhenUsed/>
    <w:rsid w:val="00635217"/>
    <w:pPr>
      <w:tabs>
        <w:tab w:val="left" w:pos="440"/>
        <w:tab w:val="left" w:pos="6930"/>
        <w:tab w:val="right" w:leader="dot" w:pos="9350"/>
      </w:tabs>
      <w:spacing w:after="100"/>
    </w:pPr>
  </w:style>
  <w:style w:type="paragraph" w:styleId="TOC2">
    <w:name w:val="toc 2"/>
    <w:basedOn w:val="Normal"/>
    <w:next w:val="Normal"/>
    <w:autoRedefine/>
    <w:uiPriority w:val="39"/>
    <w:unhideWhenUsed/>
    <w:rsid w:val="00201062"/>
    <w:pPr>
      <w:spacing w:after="100"/>
      <w:ind w:left="220"/>
    </w:pPr>
  </w:style>
  <w:style w:type="character" w:styleId="FollowedHyperlink">
    <w:name w:val="FollowedHyperlink"/>
    <w:basedOn w:val="DefaultParagraphFont"/>
    <w:uiPriority w:val="99"/>
    <w:semiHidden/>
    <w:unhideWhenUsed/>
    <w:rsid w:val="00F459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8">
      <w:bodyDiv w:val="1"/>
      <w:marLeft w:val="0"/>
      <w:marRight w:val="0"/>
      <w:marTop w:val="0"/>
      <w:marBottom w:val="0"/>
      <w:divBdr>
        <w:top w:val="none" w:sz="0" w:space="0" w:color="auto"/>
        <w:left w:val="none" w:sz="0" w:space="0" w:color="auto"/>
        <w:bottom w:val="none" w:sz="0" w:space="0" w:color="auto"/>
        <w:right w:val="none" w:sz="0" w:space="0" w:color="auto"/>
      </w:divBdr>
    </w:div>
    <w:div w:id="50663676">
      <w:bodyDiv w:val="1"/>
      <w:marLeft w:val="0"/>
      <w:marRight w:val="0"/>
      <w:marTop w:val="0"/>
      <w:marBottom w:val="0"/>
      <w:divBdr>
        <w:top w:val="none" w:sz="0" w:space="0" w:color="auto"/>
        <w:left w:val="none" w:sz="0" w:space="0" w:color="auto"/>
        <w:bottom w:val="none" w:sz="0" w:space="0" w:color="auto"/>
        <w:right w:val="none" w:sz="0" w:space="0" w:color="auto"/>
      </w:divBdr>
    </w:div>
    <w:div w:id="145633607">
      <w:bodyDiv w:val="1"/>
      <w:marLeft w:val="0"/>
      <w:marRight w:val="0"/>
      <w:marTop w:val="0"/>
      <w:marBottom w:val="0"/>
      <w:divBdr>
        <w:top w:val="none" w:sz="0" w:space="0" w:color="auto"/>
        <w:left w:val="none" w:sz="0" w:space="0" w:color="auto"/>
        <w:bottom w:val="none" w:sz="0" w:space="0" w:color="auto"/>
        <w:right w:val="none" w:sz="0" w:space="0" w:color="auto"/>
      </w:divBdr>
      <w:divsChild>
        <w:div w:id="418912838">
          <w:marLeft w:val="432"/>
          <w:marRight w:val="0"/>
          <w:marTop w:val="120"/>
          <w:marBottom w:val="0"/>
          <w:divBdr>
            <w:top w:val="none" w:sz="0" w:space="0" w:color="auto"/>
            <w:left w:val="none" w:sz="0" w:space="0" w:color="auto"/>
            <w:bottom w:val="none" w:sz="0" w:space="0" w:color="auto"/>
            <w:right w:val="none" w:sz="0" w:space="0" w:color="auto"/>
          </w:divBdr>
        </w:div>
        <w:div w:id="459954775">
          <w:marLeft w:val="432"/>
          <w:marRight w:val="0"/>
          <w:marTop w:val="120"/>
          <w:marBottom w:val="0"/>
          <w:divBdr>
            <w:top w:val="none" w:sz="0" w:space="0" w:color="auto"/>
            <w:left w:val="none" w:sz="0" w:space="0" w:color="auto"/>
            <w:bottom w:val="none" w:sz="0" w:space="0" w:color="auto"/>
            <w:right w:val="none" w:sz="0" w:space="0" w:color="auto"/>
          </w:divBdr>
        </w:div>
        <w:div w:id="1249775247">
          <w:marLeft w:val="432"/>
          <w:marRight w:val="0"/>
          <w:marTop w:val="120"/>
          <w:marBottom w:val="0"/>
          <w:divBdr>
            <w:top w:val="none" w:sz="0" w:space="0" w:color="auto"/>
            <w:left w:val="none" w:sz="0" w:space="0" w:color="auto"/>
            <w:bottom w:val="none" w:sz="0" w:space="0" w:color="auto"/>
            <w:right w:val="none" w:sz="0" w:space="0" w:color="auto"/>
          </w:divBdr>
        </w:div>
        <w:div w:id="1459375152">
          <w:marLeft w:val="432"/>
          <w:marRight w:val="0"/>
          <w:marTop w:val="120"/>
          <w:marBottom w:val="0"/>
          <w:divBdr>
            <w:top w:val="none" w:sz="0" w:space="0" w:color="auto"/>
            <w:left w:val="none" w:sz="0" w:space="0" w:color="auto"/>
            <w:bottom w:val="none" w:sz="0" w:space="0" w:color="auto"/>
            <w:right w:val="none" w:sz="0" w:space="0" w:color="auto"/>
          </w:divBdr>
        </w:div>
      </w:divsChild>
    </w:div>
    <w:div w:id="236668669">
      <w:bodyDiv w:val="1"/>
      <w:marLeft w:val="0"/>
      <w:marRight w:val="0"/>
      <w:marTop w:val="0"/>
      <w:marBottom w:val="0"/>
      <w:divBdr>
        <w:top w:val="none" w:sz="0" w:space="0" w:color="auto"/>
        <w:left w:val="none" w:sz="0" w:space="0" w:color="auto"/>
        <w:bottom w:val="none" w:sz="0" w:space="0" w:color="auto"/>
        <w:right w:val="none" w:sz="0" w:space="0" w:color="auto"/>
      </w:divBdr>
    </w:div>
    <w:div w:id="256132575">
      <w:bodyDiv w:val="1"/>
      <w:marLeft w:val="0"/>
      <w:marRight w:val="0"/>
      <w:marTop w:val="0"/>
      <w:marBottom w:val="0"/>
      <w:divBdr>
        <w:top w:val="none" w:sz="0" w:space="0" w:color="auto"/>
        <w:left w:val="none" w:sz="0" w:space="0" w:color="auto"/>
        <w:bottom w:val="none" w:sz="0" w:space="0" w:color="auto"/>
        <w:right w:val="none" w:sz="0" w:space="0" w:color="auto"/>
      </w:divBdr>
    </w:div>
    <w:div w:id="346568410">
      <w:bodyDiv w:val="1"/>
      <w:marLeft w:val="0"/>
      <w:marRight w:val="0"/>
      <w:marTop w:val="0"/>
      <w:marBottom w:val="0"/>
      <w:divBdr>
        <w:top w:val="none" w:sz="0" w:space="0" w:color="auto"/>
        <w:left w:val="none" w:sz="0" w:space="0" w:color="auto"/>
        <w:bottom w:val="none" w:sz="0" w:space="0" w:color="auto"/>
        <w:right w:val="none" w:sz="0" w:space="0" w:color="auto"/>
      </w:divBdr>
    </w:div>
    <w:div w:id="373434412">
      <w:bodyDiv w:val="1"/>
      <w:marLeft w:val="0"/>
      <w:marRight w:val="0"/>
      <w:marTop w:val="0"/>
      <w:marBottom w:val="0"/>
      <w:divBdr>
        <w:top w:val="none" w:sz="0" w:space="0" w:color="auto"/>
        <w:left w:val="none" w:sz="0" w:space="0" w:color="auto"/>
        <w:bottom w:val="none" w:sz="0" w:space="0" w:color="auto"/>
        <w:right w:val="none" w:sz="0" w:space="0" w:color="auto"/>
      </w:divBdr>
      <w:divsChild>
        <w:div w:id="215821675">
          <w:marLeft w:val="907"/>
          <w:marRight w:val="0"/>
          <w:marTop w:val="120"/>
          <w:marBottom w:val="0"/>
          <w:divBdr>
            <w:top w:val="none" w:sz="0" w:space="0" w:color="auto"/>
            <w:left w:val="none" w:sz="0" w:space="0" w:color="auto"/>
            <w:bottom w:val="none" w:sz="0" w:space="0" w:color="auto"/>
            <w:right w:val="none" w:sz="0" w:space="0" w:color="auto"/>
          </w:divBdr>
        </w:div>
        <w:div w:id="426579059">
          <w:marLeft w:val="432"/>
          <w:marRight w:val="0"/>
          <w:marTop w:val="120"/>
          <w:marBottom w:val="0"/>
          <w:divBdr>
            <w:top w:val="none" w:sz="0" w:space="0" w:color="auto"/>
            <w:left w:val="none" w:sz="0" w:space="0" w:color="auto"/>
            <w:bottom w:val="none" w:sz="0" w:space="0" w:color="auto"/>
            <w:right w:val="none" w:sz="0" w:space="0" w:color="auto"/>
          </w:divBdr>
        </w:div>
        <w:div w:id="638653248">
          <w:marLeft w:val="907"/>
          <w:marRight w:val="0"/>
          <w:marTop w:val="120"/>
          <w:marBottom w:val="0"/>
          <w:divBdr>
            <w:top w:val="none" w:sz="0" w:space="0" w:color="auto"/>
            <w:left w:val="none" w:sz="0" w:space="0" w:color="auto"/>
            <w:bottom w:val="none" w:sz="0" w:space="0" w:color="auto"/>
            <w:right w:val="none" w:sz="0" w:space="0" w:color="auto"/>
          </w:divBdr>
        </w:div>
        <w:div w:id="672072059">
          <w:marLeft w:val="907"/>
          <w:marRight w:val="0"/>
          <w:marTop w:val="120"/>
          <w:marBottom w:val="0"/>
          <w:divBdr>
            <w:top w:val="none" w:sz="0" w:space="0" w:color="auto"/>
            <w:left w:val="none" w:sz="0" w:space="0" w:color="auto"/>
            <w:bottom w:val="none" w:sz="0" w:space="0" w:color="auto"/>
            <w:right w:val="none" w:sz="0" w:space="0" w:color="auto"/>
          </w:divBdr>
        </w:div>
        <w:div w:id="746465704">
          <w:marLeft w:val="907"/>
          <w:marRight w:val="0"/>
          <w:marTop w:val="120"/>
          <w:marBottom w:val="0"/>
          <w:divBdr>
            <w:top w:val="none" w:sz="0" w:space="0" w:color="auto"/>
            <w:left w:val="none" w:sz="0" w:space="0" w:color="auto"/>
            <w:bottom w:val="none" w:sz="0" w:space="0" w:color="auto"/>
            <w:right w:val="none" w:sz="0" w:space="0" w:color="auto"/>
          </w:divBdr>
        </w:div>
        <w:div w:id="830298269">
          <w:marLeft w:val="907"/>
          <w:marRight w:val="0"/>
          <w:marTop w:val="120"/>
          <w:marBottom w:val="0"/>
          <w:divBdr>
            <w:top w:val="none" w:sz="0" w:space="0" w:color="auto"/>
            <w:left w:val="none" w:sz="0" w:space="0" w:color="auto"/>
            <w:bottom w:val="none" w:sz="0" w:space="0" w:color="auto"/>
            <w:right w:val="none" w:sz="0" w:space="0" w:color="auto"/>
          </w:divBdr>
        </w:div>
        <w:div w:id="904418337">
          <w:marLeft w:val="907"/>
          <w:marRight w:val="0"/>
          <w:marTop w:val="120"/>
          <w:marBottom w:val="0"/>
          <w:divBdr>
            <w:top w:val="none" w:sz="0" w:space="0" w:color="auto"/>
            <w:left w:val="none" w:sz="0" w:space="0" w:color="auto"/>
            <w:bottom w:val="none" w:sz="0" w:space="0" w:color="auto"/>
            <w:right w:val="none" w:sz="0" w:space="0" w:color="auto"/>
          </w:divBdr>
        </w:div>
        <w:div w:id="1356804890">
          <w:marLeft w:val="907"/>
          <w:marRight w:val="0"/>
          <w:marTop w:val="120"/>
          <w:marBottom w:val="0"/>
          <w:divBdr>
            <w:top w:val="none" w:sz="0" w:space="0" w:color="auto"/>
            <w:left w:val="none" w:sz="0" w:space="0" w:color="auto"/>
            <w:bottom w:val="none" w:sz="0" w:space="0" w:color="auto"/>
            <w:right w:val="none" w:sz="0" w:space="0" w:color="auto"/>
          </w:divBdr>
        </w:div>
        <w:div w:id="1436830533">
          <w:marLeft w:val="907"/>
          <w:marRight w:val="0"/>
          <w:marTop w:val="120"/>
          <w:marBottom w:val="0"/>
          <w:divBdr>
            <w:top w:val="none" w:sz="0" w:space="0" w:color="auto"/>
            <w:left w:val="none" w:sz="0" w:space="0" w:color="auto"/>
            <w:bottom w:val="none" w:sz="0" w:space="0" w:color="auto"/>
            <w:right w:val="none" w:sz="0" w:space="0" w:color="auto"/>
          </w:divBdr>
        </w:div>
        <w:div w:id="1616055893">
          <w:marLeft w:val="907"/>
          <w:marRight w:val="0"/>
          <w:marTop w:val="120"/>
          <w:marBottom w:val="0"/>
          <w:divBdr>
            <w:top w:val="none" w:sz="0" w:space="0" w:color="auto"/>
            <w:left w:val="none" w:sz="0" w:space="0" w:color="auto"/>
            <w:bottom w:val="none" w:sz="0" w:space="0" w:color="auto"/>
            <w:right w:val="none" w:sz="0" w:space="0" w:color="auto"/>
          </w:divBdr>
        </w:div>
        <w:div w:id="1886679267">
          <w:marLeft w:val="907"/>
          <w:marRight w:val="0"/>
          <w:marTop w:val="120"/>
          <w:marBottom w:val="0"/>
          <w:divBdr>
            <w:top w:val="none" w:sz="0" w:space="0" w:color="auto"/>
            <w:left w:val="none" w:sz="0" w:space="0" w:color="auto"/>
            <w:bottom w:val="none" w:sz="0" w:space="0" w:color="auto"/>
            <w:right w:val="none" w:sz="0" w:space="0" w:color="auto"/>
          </w:divBdr>
        </w:div>
        <w:div w:id="1944148033">
          <w:marLeft w:val="907"/>
          <w:marRight w:val="0"/>
          <w:marTop w:val="120"/>
          <w:marBottom w:val="0"/>
          <w:divBdr>
            <w:top w:val="none" w:sz="0" w:space="0" w:color="auto"/>
            <w:left w:val="none" w:sz="0" w:space="0" w:color="auto"/>
            <w:bottom w:val="none" w:sz="0" w:space="0" w:color="auto"/>
            <w:right w:val="none" w:sz="0" w:space="0" w:color="auto"/>
          </w:divBdr>
        </w:div>
        <w:div w:id="1983270268">
          <w:marLeft w:val="907"/>
          <w:marRight w:val="0"/>
          <w:marTop w:val="120"/>
          <w:marBottom w:val="0"/>
          <w:divBdr>
            <w:top w:val="none" w:sz="0" w:space="0" w:color="auto"/>
            <w:left w:val="none" w:sz="0" w:space="0" w:color="auto"/>
            <w:bottom w:val="none" w:sz="0" w:space="0" w:color="auto"/>
            <w:right w:val="none" w:sz="0" w:space="0" w:color="auto"/>
          </w:divBdr>
        </w:div>
        <w:div w:id="2140103219">
          <w:marLeft w:val="907"/>
          <w:marRight w:val="0"/>
          <w:marTop w:val="120"/>
          <w:marBottom w:val="0"/>
          <w:divBdr>
            <w:top w:val="none" w:sz="0" w:space="0" w:color="auto"/>
            <w:left w:val="none" w:sz="0" w:space="0" w:color="auto"/>
            <w:bottom w:val="none" w:sz="0" w:space="0" w:color="auto"/>
            <w:right w:val="none" w:sz="0" w:space="0" w:color="auto"/>
          </w:divBdr>
        </w:div>
      </w:divsChild>
    </w:div>
    <w:div w:id="418140197">
      <w:bodyDiv w:val="1"/>
      <w:marLeft w:val="0"/>
      <w:marRight w:val="0"/>
      <w:marTop w:val="0"/>
      <w:marBottom w:val="0"/>
      <w:divBdr>
        <w:top w:val="none" w:sz="0" w:space="0" w:color="auto"/>
        <w:left w:val="none" w:sz="0" w:space="0" w:color="auto"/>
        <w:bottom w:val="none" w:sz="0" w:space="0" w:color="auto"/>
        <w:right w:val="none" w:sz="0" w:space="0" w:color="auto"/>
      </w:divBdr>
    </w:div>
    <w:div w:id="481580305">
      <w:bodyDiv w:val="1"/>
      <w:marLeft w:val="0"/>
      <w:marRight w:val="0"/>
      <w:marTop w:val="0"/>
      <w:marBottom w:val="0"/>
      <w:divBdr>
        <w:top w:val="none" w:sz="0" w:space="0" w:color="auto"/>
        <w:left w:val="none" w:sz="0" w:space="0" w:color="auto"/>
        <w:bottom w:val="none" w:sz="0" w:space="0" w:color="auto"/>
        <w:right w:val="none" w:sz="0" w:space="0" w:color="auto"/>
      </w:divBdr>
    </w:div>
    <w:div w:id="495919262">
      <w:bodyDiv w:val="1"/>
      <w:marLeft w:val="0"/>
      <w:marRight w:val="0"/>
      <w:marTop w:val="0"/>
      <w:marBottom w:val="0"/>
      <w:divBdr>
        <w:top w:val="none" w:sz="0" w:space="0" w:color="auto"/>
        <w:left w:val="none" w:sz="0" w:space="0" w:color="auto"/>
        <w:bottom w:val="none" w:sz="0" w:space="0" w:color="auto"/>
        <w:right w:val="none" w:sz="0" w:space="0" w:color="auto"/>
      </w:divBdr>
    </w:div>
    <w:div w:id="531915559">
      <w:bodyDiv w:val="1"/>
      <w:marLeft w:val="0"/>
      <w:marRight w:val="0"/>
      <w:marTop w:val="0"/>
      <w:marBottom w:val="0"/>
      <w:divBdr>
        <w:top w:val="none" w:sz="0" w:space="0" w:color="auto"/>
        <w:left w:val="none" w:sz="0" w:space="0" w:color="auto"/>
        <w:bottom w:val="none" w:sz="0" w:space="0" w:color="auto"/>
        <w:right w:val="none" w:sz="0" w:space="0" w:color="auto"/>
      </w:divBdr>
    </w:div>
    <w:div w:id="551235299">
      <w:bodyDiv w:val="1"/>
      <w:marLeft w:val="0"/>
      <w:marRight w:val="0"/>
      <w:marTop w:val="0"/>
      <w:marBottom w:val="0"/>
      <w:divBdr>
        <w:top w:val="none" w:sz="0" w:space="0" w:color="auto"/>
        <w:left w:val="none" w:sz="0" w:space="0" w:color="auto"/>
        <w:bottom w:val="none" w:sz="0" w:space="0" w:color="auto"/>
        <w:right w:val="none" w:sz="0" w:space="0" w:color="auto"/>
      </w:divBdr>
    </w:div>
    <w:div w:id="563301538">
      <w:bodyDiv w:val="1"/>
      <w:marLeft w:val="0"/>
      <w:marRight w:val="0"/>
      <w:marTop w:val="0"/>
      <w:marBottom w:val="0"/>
      <w:divBdr>
        <w:top w:val="none" w:sz="0" w:space="0" w:color="auto"/>
        <w:left w:val="none" w:sz="0" w:space="0" w:color="auto"/>
        <w:bottom w:val="none" w:sz="0" w:space="0" w:color="auto"/>
        <w:right w:val="none" w:sz="0" w:space="0" w:color="auto"/>
      </w:divBdr>
    </w:div>
    <w:div w:id="859508452">
      <w:bodyDiv w:val="1"/>
      <w:marLeft w:val="0"/>
      <w:marRight w:val="0"/>
      <w:marTop w:val="0"/>
      <w:marBottom w:val="0"/>
      <w:divBdr>
        <w:top w:val="none" w:sz="0" w:space="0" w:color="auto"/>
        <w:left w:val="none" w:sz="0" w:space="0" w:color="auto"/>
        <w:bottom w:val="none" w:sz="0" w:space="0" w:color="auto"/>
        <w:right w:val="none" w:sz="0" w:space="0" w:color="auto"/>
      </w:divBdr>
      <w:divsChild>
        <w:div w:id="65616481">
          <w:marLeft w:val="806"/>
          <w:marRight w:val="0"/>
          <w:marTop w:val="120"/>
          <w:marBottom w:val="0"/>
          <w:divBdr>
            <w:top w:val="none" w:sz="0" w:space="0" w:color="auto"/>
            <w:left w:val="none" w:sz="0" w:space="0" w:color="auto"/>
            <w:bottom w:val="none" w:sz="0" w:space="0" w:color="auto"/>
            <w:right w:val="none" w:sz="0" w:space="0" w:color="auto"/>
          </w:divBdr>
        </w:div>
        <w:div w:id="301350916">
          <w:marLeft w:val="806"/>
          <w:marRight w:val="0"/>
          <w:marTop w:val="120"/>
          <w:marBottom w:val="0"/>
          <w:divBdr>
            <w:top w:val="none" w:sz="0" w:space="0" w:color="auto"/>
            <w:left w:val="none" w:sz="0" w:space="0" w:color="auto"/>
            <w:bottom w:val="none" w:sz="0" w:space="0" w:color="auto"/>
            <w:right w:val="none" w:sz="0" w:space="0" w:color="auto"/>
          </w:divBdr>
        </w:div>
        <w:div w:id="581067185">
          <w:marLeft w:val="806"/>
          <w:marRight w:val="0"/>
          <w:marTop w:val="120"/>
          <w:marBottom w:val="0"/>
          <w:divBdr>
            <w:top w:val="none" w:sz="0" w:space="0" w:color="auto"/>
            <w:left w:val="none" w:sz="0" w:space="0" w:color="auto"/>
            <w:bottom w:val="none" w:sz="0" w:space="0" w:color="auto"/>
            <w:right w:val="none" w:sz="0" w:space="0" w:color="auto"/>
          </w:divBdr>
        </w:div>
        <w:div w:id="1015963649">
          <w:marLeft w:val="432"/>
          <w:marRight w:val="0"/>
          <w:marTop w:val="120"/>
          <w:marBottom w:val="0"/>
          <w:divBdr>
            <w:top w:val="none" w:sz="0" w:space="0" w:color="auto"/>
            <w:left w:val="none" w:sz="0" w:space="0" w:color="auto"/>
            <w:bottom w:val="none" w:sz="0" w:space="0" w:color="auto"/>
            <w:right w:val="none" w:sz="0" w:space="0" w:color="auto"/>
          </w:divBdr>
        </w:div>
        <w:div w:id="1043597389">
          <w:marLeft w:val="806"/>
          <w:marRight w:val="0"/>
          <w:marTop w:val="120"/>
          <w:marBottom w:val="0"/>
          <w:divBdr>
            <w:top w:val="none" w:sz="0" w:space="0" w:color="auto"/>
            <w:left w:val="none" w:sz="0" w:space="0" w:color="auto"/>
            <w:bottom w:val="none" w:sz="0" w:space="0" w:color="auto"/>
            <w:right w:val="none" w:sz="0" w:space="0" w:color="auto"/>
          </w:divBdr>
        </w:div>
        <w:div w:id="1210799471">
          <w:marLeft w:val="806"/>
          <w:marRight w:val="0"/>
          <w:marTop w:val="120"/>
          <w:marBottom w:val="0"/>
          <w:divBdr>
            <w:top w:val="none" w:sz="0" w:space="0" w:color="auto"/>
            <w:left w:val="none" w:sz="0" w:space="0" w:color="auto"/>
            <w:bottom w:val="none" w:sz="0" w:space="0" w:color="auto"/>
            <w:right w:val="none" w:sz="0" w:space="0" w:color="auto"/>
          </w:divBdr>
        </w:div>
        <w:div w:id="1446539190">
          <w:marLeft w:val="806"/>
          <w:marRight w:val="0"/>
          <w:marTop w:val="120"/>
          <w:marBottom w:val="0"/>
          <w:divBdr>
            <w:top w:val="none" w:sz="0" w:space="0" w:color="auto"/>
            <w:left w:val="none" w:sz="0" w:space="0" w:color="auto"/>
            <w:bottom w:val="none" w:sz="0" w:space="0" w:color="auto"/>
            <w:right w:val="none" w:sz="0" w:space="0" w:color="auto"/>
          </w:divBdr>
        </w:div>
        <w:div w:id="1615281703">
          <w:marLeft w:val="806"/>
          <w:marRight w:val="0"/>
          <w:marTop w:val="120"/>
          <w:marBottom w:val="0"/>
          <w:divBdr>
            <w:top w:val="none" w:sz="0" w:space="0" w:color="auto"/>
            <w:left w:val="none" w:sz="0" w:space="0" w:color="auto"/>
            <w:bottom w:val="none" w:sz="0" w:space="0" w:color="auto"/>
            <w:right w:val="none" w:sz="0" w:space="0" w:color="auto"/>
          </w:divBdr>
        </w:div>
        <w:div w:id="1653945408">
          <w:marLeft w:val="806"/>
          <w:marRight w:val="0"/>
          <w:marTop w:val="120"/>
          <w:marBottom w:val="0"/>
          <w:divBdr>
            <w:top w:val="none" w:sz="0" w:space="0" w:color="auto"/>
            <w:left w:val="none" w:sz="0" w:space="0" w:color="auto"/>
            <w:bottom w:val="none" w:sz="0" w:space="0" w:color="auto"/>
            <w:right w:val="none" w:sz="0" w:space="0" w:color="auto"/>
          </w:divBdr>
        </w:div>
        <w:div w:id="1714966378">
          <w:marLeft w:val="806"/>
          <w:marRight w:val="0"/>
          <w:marTop w:val="120"/>
          <w:marBottom w:val="0"/>
          <w:divBdr>
            <w:top w:val="none" w:sz="0" w:space="0" w:color="auto"/>
            <w:left w:val="none" w:sz="0" w:space="0" w:color="auto"/>
            <w:bottom w:val="none" w:sz="0" w:space="0" w:color="auto"/>
            <w:right w:val="none" w:sz="0" w:space="0" w:color="auto"/>
          </w:divBdr>
        </w:div>
      </w:divsChild>
    </w:div>
    <w:div w:id="865942019">
      <w:bodyDiv w:val="1"/>
      <w:marLeft w:val="0"/>
      <w:marRight w:val="0"/>
      <w:marTop w:val="0"/>
      <w:marBottom w:val="0"/>
      <w:divBdr>
        <w:top w:val="none" w:sz="0" w:space="0" w:color="auto"/>
        <w:left w:val="none" w:sz="0" w:space="0" w:color="auto"/>
        <w:bottom w:val="none" w:sz="0" w:space="0" w:color="auto"/>
        <w:right w:val="none" w:sz="0" w:space="0" w:color="auto"/>
      </w:divBdr>
    </w:div>
    <w:div w:id="966469552">
      <w:bodyDiv w:val="1"/>
      <w:marLeft w:val="0"/>
      <w:marRight w:val="0"/>
      <w:marTop w:val="0"/>
      <w:marBottom w:val="0"/>
      <w:divBdr>
        <w:top w:val="none" w:sz="0" w:space="0" w:color="auto"/>
        <w:left w:val="none" w:sz="0" w:space="0" w:color="auto"/>
        <w:bottom w:val="none" w:sz="0" w:space="0" w:color="auto"/>
        <w:right w:val="none" w:sz="0" w:space="0" w:color="auto"/>
      </w:divBdr>
    </w:div>
    <w:div w:id="1000043587">
      <w:bodyDiv w:val="1"/>
      <w:marLeft w:val="0"/>
      <w:marRight w:val="0"/>
      <w:marTop w:val="0"/>
      <w:marBottom w:val="0"/>
      <w:divBdr>
        <w:top w:val="none" w:sz="0" w:space="0" w:color="auto"/>
        <w:left w:val="none" w:sz="0" w:space="0" w:color="auto"/>
        <w:bottom w:val="none" w:sz="0" w:space="0" w:color="auto"/>
        <w:right w:val="none" w:sz="0" w:space="0" w:color="auto"/>
      </w:divBdr>
    </w:div>
    <w:div w:id="1065370768">
      <w:bodyDiv w:val="1"/>
      <w:marLeft w:val="0"/>
      <w:marRight w:val="0"/>
      <w:marTop w:val="0"/>
      <w:marBottom w:val="0"/>
      <w:divBdr>
        <w:top w:val="none" w:sz="0" w:space="0" w:color="auto"/>
        <w:left w:val="none" w:sz="0" w:space="0" w:color="auto"/>
        <w:bottom w:val="none" w:sz="0" w:space="0" w:color="auto"/>
        <w:right w:val="none" w:sz="0" w:space="0" w:color="auto"/>
      </w:divBdr>
    </w:div>
    <w:div w:id="1206219494">
      <w:bodyDiv w:val="1"/>
      <w:marLeft w:val="0"/>
      <w:marRight w:val="0"/>
      <w:marTop w:val="0"/>
      <w:marBottom w:val="0"/>
      <w:divBdr>
        <w:top w:val="none" w:sz="0" w:space="0" w:color="auto"/>
        <w:left w:val="none" w:sz="0" w:space="0" w:color="auto"/>
        <w:bottom w:val="none" w:sz="0" w:space="0" w:color="auto"/>
        <w:right w:val="none" w:sz="0" w:space="0" w:color="auto"/>
      </w:divBdr>
    </w:div>
    <w:div w:id="1274171790">
      <w:bodyDiv w:val="1"/>
      <w:marLeft w:val="0"/>
      <w:marRight w:val="0"/>
      <w:marTop w:val="0"/>
      <w:marBottom w:val="0"/>
      <w:divBdr>
        <w:top w:val="none" w:sz="0" w:space="0" w:color="auto"/>
        <w:left w:val="none" w:sz="0" w:space="0" w:color="auto"/>
        <w:bottom w:val="none" w:sz="0" w:space="0" w:color="auto"/>
        <w:right w:val="none" w:sz="0" w:space="0" w:color="auto"/>
      </w:divBdr>
    </w:div>
    <w:div w:id="1370842255">
      <w:bodyDiv w:val="1"/>
      <w:marLeft w:val="0"/>
      <w:marRight w:val="0"/>
      <w:marTop w:val="0"/>
      <w:marBottom w:val="0"/>
      <w:divBdr>
        <w:top w:val="none" w:sz="0" w:space="0" w:color="auto"/>
        <w:left w:val="none" w:sz="0" w:space="0" w:color="auto"/>
        <w:bottom w:val="none" w:sz="0" w:space="0" w:color="auto"/>
        <w:right w:val="none" w:sz="0" w:space="0" w:color="auto"/>
      </w:divBdr>
    </w:div>
    <w:div w:id="1384866067">
      <w:bodyDiv w:val="1"/>
      <w:marLeft w:val="0"/>
      <w:marRight w:val="0"/>
      <w:marTop w:val="0"/>
      <w:marBottom w:val="0"/>
      <w:divBdr>
        <w:top w:val="none" w:sz="0" w:space="0" w:color="auto"/>
        <w:left w:val="none" w:sz="0" w:space="0" w:color="auto"/>
        <w:bottom w:val="none" w:sz="0" w:space="0" w:color="auto"/>
        <w:right w:val="none" w:sz="0" w:space="0" w:color="auto"/>
      </w:divBdr>
    </w:div>
    <w:div w:id="1451897156">
      <w:bodyDiv w:val="1"/>
      <w:marLeft w:val="0"/>
      <w:marRight w:val="0"/>
      <w:marTop w:val="0"/>
      <w:marBottom w:val="0"/>
      <w:divBdr>
        <w:top w:val="none" w:sz="0" w:space="0" w:color="auto"/>
        <w:left w:val="none" w:sz="0" w:space="0" w:color="auto"/>
        <w:bottom w:val="none" w:sz="0" w:space="0" w:color="auto"/>
        <w:right w:val="none" w:sz="0" w:space="0" w:color="auto"/>
      </w:divBdr>
      <w:divsChild>
        <w:div w:id="255292303">
          <w:marLeft w:val="432"/>
          <w:marRight w:val="0"/>
          <w:marTop w:val="120"/>
          <w:marBottom w:val="0"/>
          <w:divBdr>
            <w:top w:val="none" w:sz="0" w:space="0" w:color="auto"/>
            <w:left w:val="none" w:sz="0" w:space="0" w:color="auto"/>
            <w:bottom w:val="none" w:sz="0" w:space="0" w:color="auto"/>
            <w:right w:val="none" w:sz="0" w:space="0" w:color="auto"/>
          </w:divBdr>
        </w:div>
        <w:div w:id="1526551858">
          <w:marLeft w:val="432"/>
          <w:marRight w:val="0"/>
          <w:marTop w:val="120"/>
          <w:marBottom w:val="0"/>
          <w:divBdr>
            <w:top w:val="none" w:sz="0" w:space="0" w:color="auto"/>
            <w:left w:val="none" w:sz="0" w:space="0" w:color="auto"/>
            <w:bottom w:val="none" w:sz="0" w:space="0" w:color="auto"/>
            <w:right w:val="none" w:sz="0" w:space="0" w:color="auto"/>
          </w:divBdr>
        </w:div>
        <w:div w:id="2120876379">
          <w:marLeft w:val="432"/>
          <w:marRight w:val="0"/>
          <w:marTop w:val="120"/>
          <w:marBottom w:val="0"/>
          <w:divBdr>
            <w:top w:val="none" w:sz="0" w:space="0" w:color="auto"/>
            <w:left w:val="none" w:sz="0" w:space="0" w:color="auto"/>
            <w:bottom w:val="none" w:sz="0" w:space="0" w:color="auto"/>
            <w:right w:val="none" w:sz="0" w:space="0" w:color="auto"/>
          </w:divBdr>
        </w:div>
      </w:divsChild>
    </w:div>
    <w:div w:id="1496409492">
      <w:bodyDiv w:val="1"/>
      <w:marLeft w:val="0"/>
      <w:marRight w:val="0"/>
      <w:marTop w:val="0"/>
      <w:marBottom w:val="0"/>
      <w:divBdr>
        <w:top w:val="none" w:sz="0" w:space="0" w:color="auto"/>
        <w:left w:val="none" w:sz="0" w:space="0" w:color="auto"/>
        <w:bottom w:val="none" w:sz="0" w:space="0" w:color="auto"/>
        <w:right w:val="none" w:sz="0" w:space="0" w:color="auto"/>
      </w:divBdr>
    </w:div>
    <w:div w:id="1523350815">
      <w:bodyDiv w:val="1"/>
      <w:marLeft w:val="0"/>
      <w:marRight w:val="0"/>
      <w:marTop w:val="0"/>
      <w:marBottom w:val="0"/>
      <w:divBdr>
        <w:top w:val="none" w:sz="0" w:space="0" w:color="auto"/>
        <w:left w:val="none" w:sz="0" w:space="0" w:color="auto"/>
        <w:bottom w:val="none" w:sz="0" w:space="0" w:color="auto"/>
        <w:right w:val="none" w:sz="0" w:space="0" w:color="auto"/>
      </w:divBdr>
      <w:divsChild>
        <w:div w:id="257251206">
          <w:marLeft w:val="432"/>
          <w:marRight w:val="0"/>
          <w:marTop w:val="120"/>
          <w:marBottom w:val="0"/>
          <w:divBdr>
            <w:top w:val="none" w:sz="0" w:space="0" w:color="auto"/>
            <w:left w:val="none" w:sz="0" w:space="0" w:color="auto"/>
            <w:bottom w:val="none" w:sz="0" w:space="0" w:color="auto"/>
            <w:right w:val="none" w:sz="0" w:space="0" w:color="auto"/>
          </w:divBdr>
        </w:div>
      </w:divsChild>
    </w:div>
    <w:div w:id="1642079779">
      <w:bodyDiv w:val="1"/>
      <w:marLeft w:val="0"/>
      <w:marRight w:val="0"/>
      <w:marTop w:val="0"/>
      <w:marBottom w:val="0"/>
      <w:divBdr>
        <w:top w:val="none" w:sz="0" w:space="0" w:color="auto"/>
        <w:left w:val="none" w:sz="0" w:space="0" w:color="auto"/>
        <w:bottom w:val="none" w:sz="0" w:space="0" w:color="auto"/>
        <w:right w:val="none" w:sz="0" w:space="0" w:color="auto"/>
      </w:divBdr>
    </w:div>
    <w:div w:id="1787852220">
      <w:bodyDiv w:val="1"/>
      <w:marLeft w:val="0"/>
      <w:marRight w:val="0"/>
      <w:marTop w:val="0"/>
      <w:marBottom w:val="0"/>
      <w:divBdr>
        <w:top w:val="none" w:sz="0" w:space="0" w:color="auto"/>
        <w:left w:val="none" w:sz="0" w:space="0" w:color="auto"/>
        <w:bottom w:val="none" w:sz="0" w:space="0" w:color="auto"/>
        <w:right w:val="none" w:sz="0" w:space="0" w:color="auto"/>
      </w:divBdr>
    </w:div>
    <w:div w:id="1911845572">
      <w:bodyDiv w:val="1"/>
      <w:marLeft w:val="0"/>
      <w:marRight w:val="0"/>
      <w:marTop w:val="0"/>
      <w:marBottom w:val="0"/>
      <w:divBdr>
        <w:top w:val="none" w:sz="0" w:space="0" w:color="auto"/>
        <w:left w:val="none" w:sz="0" w:space="0" w:color="auto"/>
        <w:bottom w:val="none" w:sz="0" w:space="0" w:color="auto"/>
        <w:right w:val="none" w:sz="0" w:space="0" w:color="auto"/>
      </w:divBdr>
    </w:div>
    <w:div w:id="1926646743">
      <w:bodyDiv w:val="1"/>
      <w:marLeft w:val="0"/>
      <w:marRight w:val="0"/>
      <w:marTop w:val="0"/>
      <w:marBottom w:val="0"/>
      <w:divBdr>
        <w:top w:val="none" w:sz="0" w:space="0" w:color="auto"/>
        <w:left w:val="none" w:sz="0" w:space="0" w:color="auto"/>
        <w:bottom w:val="none" w:sz="0" w:space="0" w:color="auto"/>
        <w:right w:val="none" w:sz="0" w:space="0" w:color="auto"/>
      </w:divBdr>
    </w:div>
    <w:div w:id="1944457584">
      <w:bodyDiv w:val="1"/>
      <w:marLeft w:val="0"/>
      <w:marRight w:val="0"/>
      <w:marTop w:val="0"/>
      <w:marBottom w:val="0"/>
      <w:divBdr>
        <w:top w:val="none" w:sz="0" w:space="0" w:color="auto"/>
        <w:left w:val="none" w:sz="0" w:space="0" w:color="auto"/>
        <w:bottom w:val="none" w:sz="0" w:space="0" w:color="auto"/>
        <w:right w:val="none" w:sz="0" w:space="0" w:color="auto"/>
      </w:divBdr>
    </w:div>
    <w:div w:id="2098940922">
      <w:bodyDiv w:val="1"/>
      <w:marLeft w:val="0"/>
      <w:marRight w:val="0"/>
      <w:marTop w:val="0"/>
      <w:marBottom w:val="0"/>
      <w:divBdr>
        <w:top w:val="none" w:sz="0" w:space="0" w:color="auto"/>
        <w:left w:val="none" w:sz="0" w:space="0" w:color="auto"/>
        <w:bottom w:val="none" w:sz="0" w:space="0" w:color="auto"/>
        <w:right w:val="none" w:sz="0" w:space="0" w:color="auto"/>
      </w:divBdr>
    </w:div>
    <w:div w:id="2103530145">
      <w:bodyDiv w:val="1"/>
      <w:marLeft w:val="0"/>
      <w:marRight w:val="0"/>
      <w:marTop w:val="0"/>
      <w:marBottom w:val="0"/>
      <w:divBdr>
        <w:top w:val="none" w:sz="0" w:space="0" w:color="auto"/>
        <w:left w:val="none" w:sz="0" w:space="0" w:color="auto"/>
        <w:bottom w:val="none" w:sz="0" w:space="0" w:color="auto"/>
        <w:right w:val="none" w:sz="0" w:space="0" w:color="auto"/>
      </w:divBdr>
    </w:div>
    <w:div w:id="2114858968">
      <w:bodyDiv w:val="1"/>
      <w:marLeft w:val="0"/>
      <w:marRight w:val="0"/>
      <w:marTop w:val="0"/>
      <w:marBottom w:val="0"/>
      <w:divBdr>
        <w:top w:val="none" w:sz="0" w:space="0" w:color="auto"/>
        <w:left w:val="none" w:sz="0" w:space="0" w:color="auto"/>
        <w:bottom w:val="none" w:sz="0" w:space="0" w:color="auto"/>
        <w:right w:val="none" w:sz="0" w:space="0" w:color="auto"/>
      </w:divBdr>
    </w:div>
    <w:div w:id="2129858051">
      <w:bodyDiv w:val="1"/>
      <w:marLeft w:val="0"/>
      <w:marRight w:val="0"/>
      <w:marTop w:val="0"/>
      <w:marBottom w:val="0"/>
      <w:divBdr>
        <w:top w:val="none" w:sz="0" w:space="0" w:color="auto"/>
        <w:left w:val="none" w:sz="0" w:space="0" w:color="auto"/>
        <w:bottom w:val="none" w:sz="0" w:space="0" w:color="auto"/>
        <w:right w:val="none" w:sz="0" w:space="0" w:color="auto"/>
      </w:divBdr>
    </w:div>
    <w:div w:id="21412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hart" Target="charts/chart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hart" Target="charts/chart5.xml"/><Relationship Id="rId28" Type="http://schemas.openxmlformats.org/officeDocument/2006/relationships/fontTable" Target="fontTable.xml"/><Relationship Id="rId10" Type="http://schemas.openxmlformats.org/officeDocument/2006/relationships/image" Target="cid:5B86E1F2-B964-492D-BB79-A02E1F4D62E9" TargetMode="Externa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chart" Target="charts/chart4.xml"/><Relationship Id="rId27" Type="http://schemas.openxmlformats.org/officeDocument/2006/relationships/chart" Target="charts/chart9.xml"/></Relationships>
</file>

<file path=word/_rels/footnotes.xml.rels><?xml version="1.0" encoding="UTF-8" standalone="yes"?>
<Relationships xmlns="http://schemas.openxmlformats.org/package/2006/relationships"><Relationship Id="rId1" Type="http://schemas.openxmlformats.org/officeDocument/2006/relationships/hyperlink" Target="http://www1.nyc.gov/assets/rentfreeze/downloads/pdf/scrie-drie_report.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2015-2016</c:v>
                </c:pt>
              </c:strCache>
            </c:strRef>
          </c:tx>
          <c:spPr>
            <a:solidFill>
              <a:srgbClr val="CDD9AC"/>
            </a:solidFill>
          </c:spPr>
          <c:invertIfNegative val="0"/>
          <c:dLbls>
            <c:dLbl>
              <c:idx val="0"/>
              <c:tx>
                <c:rich>
                  <a:bodyPr/>
                  <a:lstStyle/>
                  <a:p>
                    <a:r>
                      <a:rPr lang="en-US"/>
                      <a:t>305</a:t>
                    </a:r>
                  </a:p>
                </c:rich>
              </c:tx>
              <c:showLegendKey val="0"/>
              <c:showVal val="1"/>
              <c:showCatName val="0"/>
              <c:showSerName val="0"/>
              <c:showPercent val="0"/>
              <c:showBubbleSize val="0"/>
            </c:dLbl>
            <c:dLbl>
              <c:idx val="1"/>
              <c:tx>
                <c:rich>
                  <a:bodyPr/>
                  <a:lstStyle/>
                  <a:p>
                    <a:r>
                      <a:rPr lang="en-US"/>
                      <a:t>530</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2"/>
                <c:pt idx="0">
                  <c:v>Cases</c:v>
                </c:pt>
                <c:pt idx="1">
                  <c:v>Inquiries</c:v>
                </c:pt>
              </c:strCache>
            </c:strRef>
          </c:cat>
          <c:val>
            <c:numRef>
              <c:f>Sheet1!$B$2:$B$5</c:f>
              <c:numCache>
                <c:formatCode>General</c:formatCode>
                <c:ptCount val="2"/>
                <c:pt idx="0">
                  <c:v>125</c:v>
                </c:pt>
                <c:pt idx="1">
                  <c:v>268</c:v>
                </c:pt>
              </c:numCache>
            </c:numRef>
          </c:val>
        </c:ser>
        <c:ser>
          <c:idx val="2"/>
          <c:order val="1"/>
          <c:tx>
            <c:strRef>
              <c:f>Sheet1!$D$1</c:f>
              <c:strCache>
                <c:ptCount val="1"/>
                <c:pt idx="0">
                  <c:v>Column1</c:v>
                </c:pt>
              </c:strCache>
            </c:strRef>
          </c:tx>
          <c:invertIfNegative val="0"/>
          <c:cat>
            <c:strRef>
              <c:f>Sheet1!$A$2:$A$5</c:f>
              <c:strCache>
                <c:ptCount val="2"/>
                <c:pt idx="0">
                  <c:v>Cases</c:v>
                </c:pt>
                <c:pt idx="1">
                  <c:v>Inquiries</c:v>
                </c:pt>
              </c:strCache>
            </c:strRef>
          </c:cat>
          <c:val>
            <c:numRef>
              <c:f>Sheet1!$D$2:$D$5</c:f>
            </c:numRef>
          </c:val>
        </c:ser>
        <c:dLbls>
          <c:showLegendKey val="0"/>
          <c:showVal val="0"/>
          <c:showCatName val="0"/>
          <c:showSerName val="0"/>
          <c:showPercent val="0"/>
          <c:showBubbleSize val="0"/>
        </c:dLbls>
        <c:gapWidth val="150"/>
        <c:axId val="90317952"/>
        <c:axId val="90319488"/>
      </c:barChart>
      <c:catAx>
        <c:axId val="90317952"/>
        <c:scaling>
          <c:orientation val="minMax"/>
        </c:scaling>
        <c:delete val="0"/>
        <c:axPos val="b"/>
        <c:majorTickMark val="out"/>
        <c:minorTickMark val="none"/>
        <c:tickLblPos val="nextTo"/>
        <c:crossAx val="90319488"/>
        <c:crosses val="autoZero"/>
        <c:auto val="1"/>
        <c:lblAlgn val="ctr"/>
        <c:lblOffset val="100"/>
        <c:noMultiLvlLbl val="0"/>
      </c:catAx>
      <c:valAx>
        <c:axId val="90319488"/>
        <c:scaling>
          <c:orientation val="minMax"/>
        </c:scaling>
        <c:delete val="0"/>
        <c:axPos val="l"/>
        <c:majorGridlines/>
        <c:numFmt formatCode="General" sourceLinked="1"/>
        <c:majorTickMark val="out"/>
        <c:minorTickMark val="none"/>
        <c:tickLblPos val="nextTo"/>
        <c:crossAx val="90317952"/>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April</a:t>
            </a:r>
            <a:r>
              <a:rPr lang="en-US" baseline="0"/>
              <a:t> 1, 2016 to March 31, 2017 </a:t>
            </a:r>
            <a:endParaRPr lang="en-US"/>
          </a:p>
        </c:rich>
      </c:tx>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Total Work Property vs. Business</c:v>
                </c:pt>
              </c:strCache>
            </c:strRef>
          </c:tx>
          <c:dLbls>
            <c:showLegendKey val="0"/>
            <c:showVal val="1"/>
            <c:showCatName val="0"/>
            <c:showSerName val="0"/>
            <c:showPercent val="1"/>
            <c:showBubbleSize val="0"/>
            <c:showLeaderLines val="1"/>
          </c:dLbls>
          <c:cat>
            <c:strRef>
              <c:f>Sheet1!$A$2:$A$4</c:f>
              <c:strCache>
                <c:ptCount val="3"/>
                <c:pt idx="0">
                  <c:v>Property</c:v>
                </c:pt>
                <c:pt idx="1">
                  <c:v>Business</c:v>
                </c:pt>
                <c:pt idx="2">
                  <c:v>Others</c:v>
                </c:pt>
              </c:strCache>
            </c:strRef>
          </c:cat>
          <c:val>
            <c:numRef>
              <c:f>Sheet1!$B$2:$B$4</c:f>
              <c:numCache>
                <c:formatCode>General</c:formatCode>
                <c:ptCount val="3"/>
                <c:pt idx="0">
                  <c:v>675</c:v>
                </c:pt>
                <c:pt idx="1">
                  <c:v>135</c:v>
                </c:pt>
                <c:pt idx="2">
                  <c:v>25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April 1, 2016</a:t>
            </a:r>
            <a:r>
              <a:rPr lang="en-US" baseline="0"/>
              <a:t> to March 31, 2017</a:t>
            </a:r>
            <a:r>
              <a:rPr lang="en-US"/>
              <a:t> </a:t>
            </a:r>
          </a:p>
        </c:rich>
      </c:tx>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Borough </c:v>
                </c:pt>
              </c:strCache>
            </c:strRef>
          </c:tx>
          <c:cat>
            <c:strRef>
              <c:f>Sheet1!$A$2:$A$6</c:f>
              <c:strCache>
                <c:ptCount val="5"/>
                <c:pt idx="0">
                  <c:v>Manhattan</c:v>
                </c:pt>
                <c:pt idx="1">
                  <c:v>Bronx </c:v>
                </c:pt>
                <c:pt idx="2">
                  <c:v>Brooklyn </c:v>
                </c:pt>
                <c:pt idx="3">
                  <c:v>Queens </c:v>
                </c:pt>
                <c:pt idx="4">
                  <c:v>Staten Island </c:v>
                </c:pt>
              </c:strCache>
            </c:strRef>
          </c:cat>
          <c:val>
            <c:numRef>
              <c:f>Sheet1!$B$2:$B$6</c:f>
              <c:numCache>
                <c:formatCode>General</c:formatCode>
                <c:ptCount val="5"/>
                <c:pt idx="0">
                  <c:v>271</c:v>
                </c:pt>
                <c:pt idx="1">
                  <c:v>47</c:v>
                </c:pt>
                <c:pt idx="2">
                  <c:v>209</c:v>
                </c:pt>
                <c:pt idx="3">
                  <c:v>235</c:v>
                </c:pt>
                <c:pt idx="4">
                  <c:v>71</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Issues Presented by OTA Cases </a:t>
            </a:r>
          </a:p>
        </c:rich>
      </c:tx>
      <c:overlay val="0"/>
    </c:title>
    <c:autoTitleDeleted val="0"/>
    <c:plotArea>
      <c:layout/>
      <c:barChart>
        <c:barDir val="bar"/>
        <c:grouping val="clustered"/>
        <c:varyColors val="0"/>
        <c:ser>
          <c:idx val="0"/>
          <c:order val="0"/>
          <c:tx>
            <c:strRef>
              <c:f>Sheet1!$B$1</c:f>
              <c:strCache>
                <c:ptCount val="1"/>
                <c:pt idx="0">
                  <c:v>Common Problems</c:v>
                </c:pt>
              </c:strCache>
            </c:strRef>
          </c:tx>
          <c:invertIfNegative val="0"/>
          <c:dLbls>
            <c:showLegendKey val="0"/>
            <c:showVal val="1"/>
            <c:showCatName val="0"/>
            <c:showSerName val="0"/>
            <c:showPercent val="0"/>
            <c:showBubbleSize val="0"/>
            <c:showLeaderLines val="0"/>
          </c:dLbls>
          <c:cat>
            <c:strRef>
              <c:f>Sheet1!$A$2:$A$10</c:f>
              <c:strCache>
                <c:ptCount val="9"/>
                <c:pt idx="0">
                  <c:v>Potential deed fraud</c:v>
                </c:pt>
                <c:pt idx="1">
                  <c:v>Bad address</c:v>
                </c:pt>
                <c:pt idx="2">
                  <c:v>Lack of guidance on how DOF waives penalties</c:v>
                </c:pt>
                <c:pt idx="3">
                  <c:v>Inconsistent action by DOF employees on similar issues</c:v>
                </c:pt>
                <c:pt idx="4">
                  <c:v>Misapplied payments</c:v>
                </c:pt>
                <c:pt idx="5">
                  <c:v>Complaints DOF employees are unresponsive or unhelpful</c:v>
                </c:pt>
                <c:pt idx="6">
                  <c:v>Lack of clear, understandable, and accessible communication</c:v>
                </c:pt>
                <c:pt idx="7">
                  <c:v>Confusion about property and business taxes</c:v>
                </c:pt>
                <c:pt idx="8">
                  <c:v>Property tax exemption and abatement error</c:v>
                </c:pt>
              </c:strCache>
            </c:strRef>
          </c:cat>
          <c:val>
            <c:numRef>
              <c:f>Sheet1!$B$2:$B$10</c:f>
              <c:numCache>
                <c:formatCode>General</c:formatCode>
                <c:ptCount val="9"/>
                <c:pt idx="0">
                  <c:v>1</c:v>
                </c:pt>
                <c:pt idx="1">
                  <c:v>8</c:v>
                </c:pt>
                <c:pt idx="2">
                  <c:v>8</c:v>
                </c:pt>
                <c:pt idx="3">
                  <c:v>12</c:v>
                </c:pt>
                <c:pt idx="4">
                  <c:v>15</c:v>
                </c:pt>
                <c:pt idx="5">
                  <c:v>33</c:v>
                </c:pt>
                <c:pt idx="6">
                  <c:v>44</c:v>
                </c:pt>
                <c:pt idx="7">
                  <c:v>82</c:v>
                </c:pt>
                <c:pt idx="8">
                  <c:v>112</c:v>
                </c:pt>
              </c:numCache>
            </c:numRef>
          </c:val>
        </c:ser>
        <c:ser>
          <c:idx val="1"/>
          <c:order val="1"/>
          <c:tx>
            <c:strRef>
              <c:f>Sheet1!$C$1</c:f>
              <c:strCache>
                <c:ptCount val="1"/>
                <c:pt idx="0">
                  <c:v>Series 2</c:v>
                </c:pt>
              </c:strCache>
            </c:strRef>
          </c:tx>
          <c:invertIfNegative val="0"/>
          <c:cat>
            <c:strRef>
              <c:f>Sheet1!$A$2:$A$10</c:f>
              <c:strCache>
                <c:ptCount val="9"/>
                <c:pt idx="0">
                  <c:v>Potential deed fraud</c:v>
                </c:pt>
                <c:pt idx="1">
                  <c:v>Bad address</c:v>
                </c:pt>
                <c:pt idx="2">
                  <c:v>Lack of guidance on how DOF waives penalties</c:v>
                </c:pt>
                <c:pt idx="3">
                  <c:v>Inconsistent action by DOF employees on similar issues</c:v>
                </c:pt>
                <c:pt idx="4">
                  <c:v>Misapplied payments</c:v>
                </c:pt>
                <c:pt idx="5">
                  <c:v>Complaints DOF employees are unresponsive or unhelpful</c:v>
                </c:pt>
                <c:pt idx="6">
                  <c:v>Lack of clear, understandable, and accessible communication</c:v>
                </c:pt>
                <c:pt idx="7">
                  <c:v>Confusion about property and business taxes</c:v>
                </c:pt>
                <c:pt idx="8">
                  <c:v>Property tax exemption and abatement error</c:v>
                </c:pt>
              </c:strCache>
            </c:strRef>
          </c:cat>
          <c:val>
            <c:numRef>
              <c:f>Sheet1!$C$2:$C$10</c:f>
            </c:numRef>
          </c:val>
        </c:ser>
        <c:ser>
          <c:idx val="2"/>
          <c:order val="2"/>
          <c:tx>
            <c:strRef>
              <c:f>Sheet1!$D$1</c:f>
              <c:strCache>
                <c:ptCount val="1"/>
                <c:pt idx="0">
                  <c:v>Series 3</c:v>
                </c:pt>
              </c:strCache>
            </c:strRef>
          </c:tx>
          <c:invertIfNegative val="0"/>
          <c:cat>
            <c:strRef>
              <c:f>Sheet1!$A$2:$A$10</c:f>
              <c:strCache>
                <c:ptCount val="9"/>
                <c:pt idx="0">
                  <c:v>Potential deed fraud</c:v>
                </c:pt>
                <c:pt idx="1">
                  <c:v>Bad address</c:v>
                </c:pt>
                <c:pt idx="2">
                  <c:v>Lack of guidance on how DOF waives penalties</c:v>
                </c:pt>
                <c:pt idx="3">
                  <c:v>Inconsistent action by DOF employees on similar issues</c:v>
                </c:pt>
                <c:pt idx="4">
                  <c:v>Misapplied payments</c:v>
                </c:pt>
                <c:pt idx="5">
                  <c:v>Complaints DOF employees are unresponsive or unhelpful</c:v>
                </c:pt>
                <c:pt idx="6">
                  <c:v>Lack of clear, understandable, and accessible communication</c:v>
                </c:pt>
                <c:pt idx="7">
                  <c:v>Confusion about property and business taxes</c:v>
                </c:pt>
                <c:pt idx="8">
                  <c:v>Property tax exemption and abatement error</c:v>
                </c:pt>
              </c:strCache>
            </c:strRef>
          </c:cat>
          <c:val>
            <c:numRef>
              <c:f>Sheet1!$D$2:$D$10</c:f>
            </c:numRef>
          </c:val>
        </c:ser>
        <c:dLbls>
          <c:showLegendKey val="0"/>
          <c:showVal val="0"/>
          <c:showCatName val="0"/>
          <c:showSerName val="0"/>
          <c:showPercent val="0"/>
          <c:showBubbleSize val="0"/>
        </c:dLbls>
        <c:gapWidth val="150"/>
        <c:axId val="88753664"/>
        <c:axId val="88755200"/>
      </c:barChart>
      <c:catAx>
        <c:axId val="88753664"/>
        <c:scaling>
          <c:orientation val="minMax"/>
        </c:scaling>
        <c:delete val="0"/>
        <c:axPos val="l"/>
        <c:numFmt formatCode="General" sourceLinked="1"/>
        <c:majorTickMark val="out"/>
        <c:minorTickMark val="none"/>
        <c:tickLblPos val="nextTo"/>
        <c:txPr>
          <a:bodyPr/>
          <a:lstStyle/>
          <a:p>
            <a:pPr>
              <a:defRPr kern="800" spc="0" baseline="0"/>
            </a:pPr>
            <a:endParaRPr lang="en-US"/>
          </a:p>
        </c:txPr>
        <c:crossAx val="88755200"/>
        <c:crosses val="autoZero"/>
        <c:auto val="1"/>
        <c:lblAlgn val="ctr"/>
        <c:lblOffset val="100"/>
        <c:noMultiLvlLbl val="0"/>
      </c:catAx>
      <c:valAx>
        <c:axId val="88755200"/>
        <c:scaling>
          <c:orientation val="minMax"/>
        </c:scaling>
        <c:delete val="0"/>
        <c:axPos val="b"/>
        <c:majorGridlines/>
        <c:numFmt formatCode="General" sourceLinked="1"/>
        <c:majorTickMark val="out"/>
        <c:minorTickMark val="none"/>
        <c:tickLblPos val="nextTo"/>
        <c:crossAx val="88753664"/>
        <c:crosses val="autoZero"/>
        <c:crossBetween val="between"/>
      </c:valAx>
    </c:plotArea>
    <c:plotVisOnly val="1"/>
    <c:dispBlanksAs val="gap"/>
    <c:showDLblsOverMax val="0"/>
  </c:chart>
  <c:txPr>
    <a:bodyPr/>
    <a:lstStyle/>
    <a:p>
      <a:pPr>
        <a:defRPr kern="900" baseline="0">
          <a:latin typeface="Arial Narrow" panose="020B0606020202030204"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April 1, 2016</a:t>
            </a:r>
            <a:r>
              <a:rPr lang="en-US" baseline="0"/>
              <a:t> to March 31,</a:t>
            </a:r>
            <a:r>
              <a:rPr lang="en-US" sz="1800" b="1" i="0" u="none" strike="noStrike" kern="1200" baseline="0">
                <a:solidFill>
                  <a:sysClr val="windowText" lastClr="000000"/>
                </a:solidFill>
                <a:latin typeface="+mn-lt"/>
                <a:ea typeface="+mn-ea"/>
                <a:cs typeface="+mn-cs"/>
              </a:rPr>
              <a:t> </a:t>
            </a:r>
            <a:r>
              <a:rPr lang="en-US" baseline="0"/>
              <a:t>2017</a:t>
            </a:r>
            <a:endParaRPr lang="en-US"/>
          </a:p>
        </c:rich>
      </c:tx>
      <c:overlay val="0"/>
    </c:title>
    <c:autoTitleDeleted val="0"/>
    <c:plotArea>
      <c:layout/>
      <c:barChart>
        <c:barDir val="bar"/>
        <c:grouping val="clustered"/>
        <c:varyColors val="0"/>
        <c:ser>
          <c:idx val="0"/>
          <c:order val="0"/>
          <c:tx>
            <c:strRef>
              <c:f>Sheet1!$B$1</c:f>
              <c:strCache>
                <c:ptCount val="1"/>
                <c:pt idx="0">
                  <c:v>Total Property Tax Cases &amp; Inquiries by Subcategories </c:v>
                </c:pt>
              </c:strCache>
            </c:strRef>
          </c:tx>
          <c:invertIfNegative val="0"/>
          <c:dLbls>
            <c:showLegendKey val="0"/>
            <c:showVal val="1"/>
            <c:showCatName val="0"/>
            <c:showSerName val="0"/>
            <c:showPercent val="0"/>
            <c:showBubbleSize val="0"/>
            <c:showLeaderLines val="0"/>
          </c:dLbls>
          <c:cat>
            <c:strRef>
              <c:f>Sheet1!$A$2:$A$19</c:f>
              <c:strCache>
                <c:ptCount val="18"/>
                <c:pt idx="0">
                  <c:v>Mapping</c:v>
                </c:pt>
                <c:pt idx="1">
                  <c:v>Real Property transfer tax</c:v>
                </c:pt>
                <c:pt idx="2">
                  <c:v>Apportionment</c:v>
                </c:pt>
                <c:pt idx="3">
                  <c:v>Commercial Exemptions</c:v>
                </c:pt>
                <c:pt idx="4">
                  <c:v>RPIE Filing</c:v>
                </c:pt>
                <c:pt idx="5">
                  <c:v>RPIE Penalty</c:v>
                </c:pt>
                <c:pt idx="6">
                  <c:v>Payment Plans</c:v>
                </c:pt>
                <c:pt idx="7">
                  <c:v>Collections</c:v>
                </c:pt>
                <c:pt idx="8">
                  <c:v>Tax Exempt (NFP)</c:v>
                </c:pt>
                <c:pt idx="9">
                  <c:v>Classification</c:v>
                </c:pt>
                <c:pt idx="10">
                  <c:v>Refunds</c:v>
                </c:pt>
                <c:pt idx="11">
                  <c:v>Records</c:v>
                </c:pt>
                <c:pt idx="12">
                  <c:v>Tax Lien Sales</c:v>
                </c:pt>
                <c:pt idx="13">
                  <c:v>Other</c:v>
                </c:pt>
                <c:pt idx="14">
                  <c:v>Payments</c:v>
                </c:pt>
                <c:pt idx="15">
                  <c:v>Assessed or Market Value</c:v>
                </c:pt>
                <c:pt idx="16">
                  <c:v>Personal Exemptions</c:v>
                </c:pt>
                <c:pt idx="17">
                  <c:v>Abatements (Commercial/Personal)</c:v>
                </c:pt>
              </c:strCache>
            </c:strRef>
          </c:cat>
          <c:val>
            <c:numRef>
              <c:f>Sheet1!$B$2:$B$19</c:f>
              <c:numCache>
                <c:formatCode>General</c:formatCode>
                <c:ptCount val="18"/>
                <c:pt idx="0">
                  <c:v>1</c:v>
                </c:pt>
                <c:pt idx="1">
                  <c:v>1</c:v>
                </c:pt>
                <c:pt idx="2">
                  <c:v>2</c:v>
                </c:pt>
                <c:pt idx="3">
                  <c:v>2</c:v>
                </c:pt>
                <c:pt idx="4">
                  <c:v>3</c:v>
                </c:pt>
                <c:pt idx="5">
                  <c:v>3</c:v>
                </c:pt>
                <c:pt idx="6">
                  <c:v>5</c:v>
                </c:pt>
                <c:pt idx="7">
                  <c:v>6</c:v>
                </c:pt>
                <c:pt idx="8">
                  <c:v>8</c:v>
                </c:pt>
                <c:pt idx="9">
                  <c:v>18</c:v>
                </c:pt>
                <c:pt idx="10">
                  <c:v>21</c:v>
                </c:pt>
                <c:pt idx="11">
                  <c:v>30</c:v>
                </c:pt>
                <c:pt idx="12">
                  <c:v>35</c:v>
                </c:pt>
                <c:pt idx="13">
                  <c:v>43</c:v>
                </c:pt>
                <c:pt idx="14">
                  <c:v>70</c:v>
                </c:pt>
                <c:pt idx="15">
                  <c:v>106</c:v>
                </c:pt>
                <c:pt idx="16">
                  <c:v>154</c:v>
                </c:pt>
                <c:pt idx="17">
                  <c:v>167</c:v>
                </c:pt>
              </c:numCache>
            </c:numRef>
          </c:val>
        </c:ser>
        <c:dLbls>
          <c:showLegendKey val="0"/>
          <c:showVal val="0"/>
          <c:showCatName val="0"/>
          <c:showSerName val="0"/>
          <c:showPercent val="0"/>
          <c:showBubbleSize val="0"/>
        </c:dLbls>
        <c:gapWidth val="150"/>
        <c:axId val="88775680"/>
        <c:axId val="90309376"/>
      </c:barChart>
      <c:catAx>
        <c:axId val="88775680"/>
        <c:scaling>
          <c:orientation val="minMax"/>
        </c:scaling>
        <c:delete val="0"/>
        <c:axPos val="l"/>
        <c:majorTickMark val="out"/>
        <c:minorTickMark val="none"/>
        <c:tickLblPos val="nextTo"/>
        <c:crossAx val="90309376"/>
        <c:crosses val="autoZero"/>
        <c:auto val="1"/>
        <c:lblAlgn val="ctr"/>
        <c:lblOffset val="100"/>
        <c:noMultiLvlLbl val="0"/>
      </c:catAx>
      <c:valAx>
        <c:axId val="90309376"/>
        <c:scaling>
          <c:orientation val="minMax"/>
        </c:scaling>
        <c:delete val="0"/>
        <c:axPos val="b"/>
        <c:majorGridlines/>
        <c:numFmt formatCode="General" sourceLinked="1"/>
        <c:majorTickMark val="out"/>
        <c:minorTickMark val="none"/>
        <c:tickLblPos val="nextTo"/>
        <c:crossAx val="8877568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April 1, 2016 to March 31, 2017</a:t>
            </a:r>
          </a:p>
        </c:rich>
      </c:tx>
      <c:overlay val="0"/>
    </c:title>
    <c:autoTitleDeleted val="0"/>
    <c:plotArea>
      <c:layout/>
      <c:barChart>
        <c:barDir val="col"/>
        <c:grouping val="clustered"/>
        <c:varyColors val="0"/>
        <c:ser>
          <c:idx val="1"/>
          <c:order val="0"/>
          <c:tx>
            <c:strRef>
              <c:f>Sheet1!$C$1</c:f>
              <c:strCache>
                <c:ptCount val="1"/>
                <c:pt idx="0">
                  <c:v>2016-2017</c:v>
                </c:pt>
              </c:strCache>
            </c:strRef>
          </c:tx>
          <c:invertIfNegative val="0"/>
          <c:dLbls>
            <c:showLegendKey val="0"/>
            <c:showVal val="1"/>
            <c:showCatName val="0"/>
            <c:showSerName val="0"/>
            <c:showPercent val="0"/>
            <c:showBubbleSize val="0"/>
            <c:showLeaderLines val="0"/>
          </c:dLbls>
          <c:cat>
            <c:strRef>
              <c:f>Sheet1!$A$2:$A$6</c:f>
              <c:strCache>
                <c:ptCount val="5"/>
                <c:pt idx="0">
                  <c:v>Manhattan</c:v>
                </c:pt>
                <c:pt idx="1">
                  <c:v>Bronx</c:v>
                </c:pt>
                <c:pt idx="2">
                  <c:v>Brooklyn</c:v>
                </c:pt>
                <c:pt idx="3">
                  <c:v>Queens </c:v>
                </c:pt>
                <c:pt idx="4">
                  <c:v>Staten Island</c:v>
                </c:pt>
              </c:strCache>
            </c:strRef>
          </c:cat>
          <c:val>
            <c:numRef>
              <c:f>Sheet1!$C$2:$C$6</c:f>
              <c:numCache>
                <c:formatCode>General</c:formatCode>
                <c:ptCount val="5"/>
                <c:pt idx="0">
                  <c:v>166</c:v>
                </c:pt>
                <c:pt idx="1">
                  <c:v>38</c:v>
                </c:pt>
                <c:pt idx="2">
                  <c:v>186</c:v>
                </c:pt>
                <c:pt idx="3">
                  <c:v>219</c:v>
                </c:pt>
                <c:pt idx="4">
                  <c:v>66</c:v>
                </c:pt>
              </c:numCache>
            </c:numRef>
          </c:val>
        </c:ser>
        <c:dLbls>
          <c:showLegendKey val="0"/>
          <c:showVal val="0"/>
          <c:showCatName val="0"/>
          <c:showSerName val="0"/>
          <c:showPercent val="0"/>
          <c:showBubbleSize val="0"/>
        </c:dLbls>
        <c:gapWidth val="150"/>
        <c:axId val="90321664"/>
        <c:axId val="90323200"/>
      </c:barChart>
      <c:catAx>
        <c:axId val="90321664"/>
        <c:scaling>
          <c:orientation val="minMax"/>
        </c:scaling>
        <c:delete val="0"/>
        <c:axPos val="b"/>
        <c:majorTickMark val="out"/>
        <c:minorTickMark val="none"/>
        <c:tickLblPos val="nextTo"/>
        <c:crossAx val="90323200"/>
        <c:crosses val="autoZero"/>
        <c:auto val="1"/>
        <c:lblAlgn val="ctr"/>
        <c:lblOffset val="100"/>
        <c:noMultiLvlLbl val="0"/>
      </c:catAx>
      <c:valAx>
        <c:axId val="90323200"/>
        <c:scaling>
          <c:orientation val="minMax"/>
        </c:scaling>
        <c:delete val="0"/>
        <c:axPos val="l"/>
        <c:majorGridlines/>
        <c:numFmt formatCode="General" sourceLinked="1"/>
        <c:majorTickMark val="out"/>
        <c:minorTickMark val="none"/>
        <c:tickLblPos val="nextTo"/>
        <c:crossAx val="9032166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April 1, 2016 to March 31, 2017 </a:t>
            </a:r>
          </a:p>
        </c:rich>
      </c:tx>
      <c:overlay val="0"/>
    </c:title>
    <c:autoTitleDeleted val="0"/>
    <c:plotArea>
      <c:layout/>
      <c:barChart>
        <c:barDir val="bar"/>
        <c:grouping val="clustered"/>
        <c:varyColors val="0"/>
        <c:ser>
          <c:idx val="0"/>
          <c:order val="0"/>
          <c:tx>
            <c:strRef>
              <c:f>Sheet1!$B$1</c:f>
              <c:strCache>
                <c:ptCount val="1"/>
                <c:pt idx="0">
                  <c:v>Business &amp; Excise Tax by Subcategory</c:v>
                </c:pt>
              </c:strCache>
            </c:strRef>
          </c:tx>
          <c:invertIfNegative val="0"/>
          <c:dLbls>
            <c:showLegendKey val="0"/>
            <c:showVal val="1"/>
            <c:showCatName val="0"/>
            <c:showSerName val="0"/>
            <c:showPercent val="0"/>
            <c:showBubbleSize val="0"/>
            <c:showLeaderLines val="0"/>
          </c:dLbls>
          <c:cat>
            <c:strRef>
              <c:f>Sheet1!$A$2:$A$12</c:f>
              <c:strCache>
                <c:ptCount val="11"/>
                <c:pt idx="0">
                  <c:v>General Business tax - returns </c:v>
                </c:pt>
                <c:pt idx="1">
                  <c:v>Unincorporated Business tax - returns </c:v>
                </c:pt>
                <c:pt idx="2">
                  <c:v>General Business tax -audit</c:v>
                </c:pt>
                <c:pt idx="3">
                  <c:v>Other Business tax</c:v>
                </c:pt>
                <c:pt idx="4">
                  <c:v>Unincorporated Business tax - other</c:v>
                </c:pt>
                <c:pt idx="5">
                  <c:v>Commercial Rent tax - all</c:v>
                </c:pt>
                <c:pt idx="6">
                  <c:v>Unincorporated Business tax - payments</c:v>
                </c:pt>
                <c:pt idx="7">
                  <c:v>Unincorporated Business tax - refunds/abatements</c:v>
                </c:pt>
                <c:pt idx="8">
                  <c:v>General Business tax - other</c:v>
                </c:pt>
                <c:pt idx="9">
                  <c:v>General Business tax - refunds/abatements</c:v>
                </c:pt>
                <c:pt idx="10">
                  <c:v>General Business tax - payments</c:v>
                </c:pt>
              </c:strCache>
            </c:strRef>
          </c:cat>
          <c:val>
            <c:numRef>
              <c:f>Sheet1!$B$2:$B$12</c:f>
              <c:numCache>
                <c:formatCode>General</c:formatCode>
                <c:ptCount val="11"/>
                <c:pt idx="0">
                  <c:v>2</c:v>
                </c:pt>
                <c:pt idx="1">
                  <c:v>2</c:v>
                </c:pt>
                <c:pt idx="2">
                  <c:v>3</c:v>
                </c:pt>
                <c:pt idx="3">
                  <c:v>3</c:v>
                </c:pt>
                <c:pt idx="4">
                  <c:v>4</c:v>
                </c:pt>
                <c:pt idx="5">
                  <c:v>5</c:v>
                </c:pt>
                <c:pt idx="6">
                  <c:v>6</c:v>
                </c:pt>
                <c:pt idx="7">
                  <c:v>9</c:v>
                </c:pt>
                <c:pt idx="8">
                  <c:v>27</c:v>
                </c:pt>
                <c:pt idx="9">
                  <c:v>35</c:v>
                </c:pt>
                <c:pt idx="10">
                  <c:v>39</c:v>
                </c:pt>
              </c:numCache>
            </c:numRef>
          </c:val>
        </c:ser>
        <c:dLbls>
          <c:showLegendKey val="0"/>
          <c:showVal val="0"/>
          <c:showCatName val="0"/>
          <c:showSerName val="0"/>
          <c:showPercent val="0"/>
          <c:showBubbleSize val="0"/>
        </c:dLbls>
        <c:gapWidth val="150"/>
        <c:axId val="122816768"/>
        <c:axId val="122822656"/>
      </c:barChart>
      <c:catAx>
        <c:axId val="122816768"/>
        <c:scaling>
          <c:orientation val="minMax"/>
        </c:scaling>
        <c:delete val="0"/>
        <c:axPos val="l"/>
        <c:majorTickMark val="out"/>
        <c:minorTickMark val="none"/>
        <c:tickLblPos val="nextTo"/>
        <c:txPr>
          <a:bodyPr rot="0" vert="horz"/>
          <a:lstStyle/>
          <a:p>
            <a:pPr>
              <a:defRPr/>
            </a:pPr>
            <a:endParaRPr lang="en-US"/>
          </a:p>
        </c:txPr>
        <c:crossAx val="122822656"/>
        <c:crosses val="autoZero"/>
        <c:auto val="1"/>
        <c:lblAlgn val="ctr"/>
        <c:lblOffset val="100"/>
        <c:noMultiLvlLbl val="0"/>
      </c:catAx>
      <c:valAx>
        <c:axId val="122822656"/>
        <c:scaling>
          <c:orientation val="minMax"/>
        </c:scaling>
        <c:delete val="0"/>
        <c:axPos val="b"/>
        <c:majorGridlines/>
        <c:numFmt formatCode="General" sourceLinked="1"/>
        <c:majorTickMark val="out"/>
        <c:minorTickMark val="none"/>
        <c:tickLblPos val="nextTo"/>
        <c:crossAx val="122816768"/>
        <c:crosses val="autoZero"/>
        <c:crossBetween val="between"/>
      </c:valAx>
    </c:plotArea>
    <c:plotVisOnly val="1"/>
    <c:dispBlanksAs val="gap"/>
    <c:showDLblsOverMax val="0"/>
  </c:chart>
  <c:txPr>
    <a:bodyPr/>
    <a:lstStyle/>
    <a:p>
      <a:pPr>
        <a:defRPr kern="800" baseline="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April</a:t>
            </a:r>
            <a:r>
              <a:rPr lang="en-US" baseline="0"/>
              <a:t> 1, 2016 to March 31,2017</a:t>
            </a:r>
            <a:endParaRPr lang="en-US"/>
          </a:p>
        </c:rich>
      </c:tx>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Business &amp; Excise Tax by Borough</c:v>
                </c:pt>
              </c:strCache>
            </c:strRef>
          </c:tx>
          <c:dLbls>
            <c:showLegendKey val="0"/>
            <c:showVal val="0"/>
            <c:showCatName val="0"/>
            <c:showSerName val="0"/>
            <c:showPercent val="1"/>
            <c:showBubbleSize val="0"/>
            <c:showLeaderLines val="1"/>
          </c:dLbls>
          <c:cat>
            <c:strRef>
              <c:f>Sheet1!$A$2:$A$6</c:f>
              <c:strCache>
                <c:ptCount val="5"/>
                <c:pt idx="0">
                  <c:v>Manhattan</c:v>
                </c:pt>
                <c:pt idx="1">
                  <c:v>Bronx</c:v>
                </c:pt>
                <c:pt idx="2">
                  <c:v>Brooklyn </c:v>
                </c:pt>
                <c:pt idx="3">
                  <c:v>Queens </c:v>
                </c:pt>
                <c:pt idx="4">
                  <c:v>Staten Island</c:v>
                </c:pt>
              </c:strCache>
            </c:strRef>
          </c:cat>
          <c:val>
            <c:numRef>
              <c:f>Sheet1!$B$2:$B$6</c:f>
              <c:numCache>
                <c:formatCode>General</c:formatCode>
                <c:ptCount val="5"/>
                <c:pt idx="0">
                  <c:v>98</c:v>
                </c:pt>
                <c:pt idx="1">
                  <c:v>5</c:v>
                </c:pt>
                <c:pt idx="2">
                  <c:v>18</c:v>
                </c:pt>
                <c:pt idx="3">
                  <c:v>10</c:v>
                </c:pt>
                <c:pt idx="4">
                  <c:v>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Source of OTA</a:t>
            </a:r>
            <a:r>
              <a:rPr lang="en-US" baseline="0"/>
              <a:t> Referrals</a:t>
            </a:r>
            <a:r>
              <a:rPr lang="en-US"/>
              <a:t>: 2016</a:t>
            </a:r>
            <a:r>
              <a:rPr lang="en-US" baseline="0"/>
              <a:t> -</a:t>
            </a:r>
            <a:r>
              <a:rPr lang="en-US"/>
              <a:t>2017</a:t>
            </a:r>
          </a:p>
        </c:rich>
      </c:tx>
      <c:overlay val="0"/>
    </c:title>
    <c:autoTitleDeleted val="0"/>
    <c:plotArea>
      <c:layout/>
      <c:barChart>
        <c:barDir val="bar"/>
        <c:grouping val="clustered"/>
        <c:varyColors val="0"/>
        <c:ser>
          <c:idx val="0"/>
          <c:order val="0"/>
          <c:tx>
            <c:strRef>
              <c:f>Sheet1!$B$1</c:f>
              <c:strCache>
                <c:ptCount val="1"/>
                <c:pt idx="0">
                  <c:v>Source of Work</c:v>
                </c:pt>
              </c:strCache>
            </c:strRef>
          </c:tx>
          <c:invertIfNegative val="0"/>
          <c:cat>
            <c:strRef>
              <c:f>Sheet1!$A$2:$A$12</c:f>
              <c:strCache>
                <c:ptCount val="11"/>
                <c:pt idx="0">
                  <c:v>City Council Member</c:v>
                </c:pt>
                <c:pt idx="1">
                  <c:v>DOF Staff</c:v>
                </c:pt>
                <c:pt idx="2">
                  <c:v>Outreach</c:v>
                </c:pt>
                <c:pt idx="3">
                  <c:v>Walk-in</c:v>
                </c:pt>
                <c:pt idx="4">
                  <c:v>Other</c:v>
                </c:pt>
                <c:pt idx="5">
                  <c:v>Email</c:v>
                </c:pt>
                <c:pt idx="6">
                  <c:v>OTA Efax/Fax</c:v>
                </c:pt>
                <c:pt idx="7">
                  <c:v>Letter </c:v>
                </c:pt>
                <c:pt idx="8">
                  <c:v>Phone Call</c:v>
                </c:pt>
                <c:pt idx="9">
                  <c:v>311 Service Request</c:v>
                </c:pt>
                <c:pt idx="10">
                  <c:v>OTA Website</c:v>
                </c:pt>
              </c:strCache>
            </c:strRef>
          </c:cat>
          <c:val>
            <c:numRef>
              <c:f>Sheet1!$B$2:$B$12</c:f>
              <c:numCache>
                <c:formatCode>General</c:formatCode>
                <c:ptCount val="11"/>
                <c:pt idx="0">
                  <c:v>1</c:v>
                </c:pt>
                <c:pt idx="1">
                  <c:v>7</c:v>
                </c:pt>
                <c:pt idx="2">
                  <c:v>8</c:v>
                </c:pt>
                <c:pt idx="3">
                  <c:v>27</c:v>
                </c:pt>
                <c:pt idx="4">
                  <c:v>30</c:v>
                </c:pt>
                <c:pt idx="5">
                  <c:v>50</c:v>
                </c:pt>
                <c:pt idx="6">
                  <c:v>61</c:v>
                </c:pt>
                <c:pt idx="7">
                  <c:v>78</c:v>
                </c:pt>
                <c:pt idx="8">
                  <c:v>141</c:v>
                </c:pt>
                <c:pt idx="9">
                  <c:v>201</c:v>
                </c:pt>
                <c:pt idx="10">
                  <c:v>231</c:v>
                </c:pt>
              </c:numCache>
            </c:numRef>
          </c:val>
        </c:ser>
        <c:dLbls>
          <c:showLegendKey val="0"/>
          <c:showVal val="1"/>
          <c:showCatName val="0"/>
          <c:showSerName val="0"/>
          <c:showPercent val="0"/>
          <c:showBubbleSize val="0"/>
        </c:dLbls>
        <c:gapWidth val="150"/>
        <c:axId val="122842112"/>
        <c:axId val="134726400"/>
      </c:barChart>
      <c:catAx>
        <c:axId val="122842112"/>
        <c:scaling>
          <c:orientation val="minMax"/>
        </c:scaling>
        <c:delete val="0"/>
        <c:axPos val="l"/>
        <c:majorTickMark val="out"/>
        <c:minorTickMark val="none"/>
        <c:tickLblPos val="nextTo"/>
        <c:crossAx val="134726400"/>
        <c:crosses val="autoZero"/>
        <c:auto val="1"/>
        <c:lblAlgn val="ctr"/>
        <c:lblOffset val="100"/>
        <c:noMultiLvlLbl val="0"/>
      </c:catAx>
      <c:valAx>
        <c:axId val="134726400"/>
        <c:scaling>
          <c:orientation val="minMax"/>
        </c:scaling>
        <c:delete val="0"/>
        <c:axPos val="b"/>
        <c:majorGridlines/>
        <c:numFmt formatCode="General" sourceLinked="1"/>
        <c:majorTickMark val="out"/>
        <c:minorTickMark val="none"/>
        <c:tickLblPos val="nextTo"/>
        <c:crossAx val="122842112"/>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0.64844</cdr:x>
      <cdr:y>0.17857</cdr:y>
    </cdr:from>
    <cdr:to>
      <cdr:x>0.73177</cdr:x>
      <cdr:y>0.30357</cdr:y>
    </cdr:to>
    <cdr:sp macro="" textlink="">
      <cdr:nvSpPr>
        <cdr:cNvPr id="2" name="Text Box 1"/>
        <cdr:cNvSpPr txBox="1"/>
      </cdr:nvSpPr>
      <cdr:spPr>
        <a:xfrm xmlns:a="http://schemas.openxmlformats.org/drawingml/2006/main">
          <a:off x="3557588" y="571500"/>
          <a:ext cx="457200" cy="400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0.26563</cdr:x>
      <cdr:y>0.50893</cdr:y>
    </cdr:from>
    <cdr:to>
      <cdr:x>0.35417</cdr:x>
      <cdr:y>0.61161</cdr:y>
    </cdr:to>
    <cdr:sp macro="" textlink="">
      <cdr:nvSpPr>
        <cdr:cNvPr id="3" name="Text Box 2"/>
        <cdr:cNvSpPr txBox="1"/>
      </cdr:nvSpPr>
      <cdr:spPr>
        <a:xfrm xmlns:a="http://schemas.openxmlformats.org/drawingml/2006/main">
          <a:off x="1457325" y="1628775"/>
          <a:ext cx="485775" cy="3286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a:p xmlns:a="http://schemas.openxmlformats.org/drawingml/2006/main">
          <a:endParaRPr lang="en-US" sz="1100"/>
        </a:p>
      </cdr:txBody>
    </cdr:sp>
  </cdr:relSizeAnchor>
  <cdr:relSizeAnchor xmlns:cdr="http://schemas.openxmlformats.org/drawingml/2006/chartDrawing">
    <cdr:from>
      <cdr:x>0.53646</cdr:x>
      <cdr:y>0.65179</cdr:y>
    </cdr:from>
    <cdr:to>
      <cdr:x>0.6276</cdr:x>
      <cdr:y>0.74554</cdr:y>
    </cdr:to>
    <cdr:sp macro="" textlink="">
      <cdr:nvSpPr>
        <cdr:cNvPr id="4" name="Text Box 3"/>
        <cdr:cNvSpPr txBox="1"/>
      </cdr:nvSpPr>
      <cdr:spPr>
        <a:xfrm xmlns:a="http://schemas.openxmlformats.org/drawingml/2006/main">
          <a:off x="2943225" y="2085975"/>
          <a:ext cx="500063" cy="3000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0.15365</cdr:x>
      <cdr:y>0.79018</cdr:y>
    </cdr:from>
    <cdr:to>
      <cdr:x>0.25521</cdr:x>
      <cdr:y>0.86161</cdr:y>
    </cdr:to>
    <cdr:sp macro="" textlink="">
      <cdr:nvSpPr>
        <cdr:cNvPr id="5" name="Text Box 4"/>
        <cdr:cNvSpPr txBox="1"/>
      </cdr:nvSpPr>
      <cdr:spPr>
        <a:xfrm xmlns:a="http://schemas.openxmlformats.org/drawingml/2006/main">
          <a:off x="842963" y="2528888"/>
          <a:ext cx="557212"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0.34201</cdr:x>
      <cdr:y>0.69345</cdr:y>
    </cdr:from>
    <cdr:to>
      <cdr:x>0.85036</cdr:x>
      <cdr:y>0.86012</cdr:y>
    </cdr:to>
    <cdr:sp macro="" textlink="">
      <cdr:nvSpPr>
        <cdr:cNvPr id="2" name="Text Box 1"/>
        <cdr:cNvSpPr txBox="1"/>
      </cdr:nvSpPr>
      <cdr:spPr>
        <a:xfrm xmlns:a="http://schemas.openxmlformats.org/drawingml/2006/main">
          <a:off x="892595" y="1856036"/>
          <a:ext cx="1326730" cy="4460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900"/>
        </a:p>
        <a:p xmlns:a="http://schemas.openxmlformats.org/drawingml/2006/main">
          <a:endParaRPr lang="en-US" sz="900"/>
        </a:p>
      </cdr:txBody>
    </cdr:sp>
  </cdr:relSizeAnchor>
  <cdr:relSizeAnchor xmlns:cdr="http://schemas.openxmlformats.org/drawingml/2006/chartDrawing">
    <cdr:from>
      <cdr:x>0.06569</cdr:x>
      <cdr:y>0.39584</cdr:y>
    </cdr:from>
    <cdr:to>
      <cdr:x>0.4854</cdr:x>
      <cdr:y>0.60142</cdr:y>
    </cdr:to>
    <cdr:sp macro="" textlink="">
      <cdr:nvSpPr>
        <cdr:cNvPr id="3" name="Text Box 2"/>
        <cdr:cNvSpPr txBox="1"/>
      </cdr:nvSpPr>
      <cdr:spPr>
        <a:xfrm xmlns:a="http://schemas.openxmlformats.org/drawingml/2006/main">
          <a:off x="171451" y="1059479"/>
          <a:ext cx="1095374" cy="5502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900"/>
        </a:p>
        <a:p xmlns:a="http://schemas.openxmlformats.org/drawingml/2006/main">
          <a:endParaRPr lang="en-US" sz="900"/>
        </a:p>
      </cdr:txBody>
    </cdr:sp>
  </cdr:relSizeAnchor>
  <cdr:relSizeAnchor xmlns:cdr="http://schemas.openxmlformats.org/drawingml/2006/chartDrawing">
    <cdr:from>
      <cdr:x>0.2867</cdr:x>
      <cdr:y>0.32151</cdr:y>
    </cdr:from>
    <cdr:to>
      <cdr:x>0.67153</cdr:x>
      <cdr:y>0.56584</cdr:y>
    </cdr:to>
    <cdr:sp macro="" textlink="">
      <cdr:nvSpPr>
        <cdr:cNvPr id="4" name="Text Box 3"/>
        <cdr:cNvSpPr txBox="1"/>
      </cdr:nvSpPr>
      <cdr:spPr>
        <a:xfrm xmlns:a="http://schemas.openxmlformats.org/drawingml/2006/main">
          <a:off x="748245" y="860523"/>
          <a:ext cx="1004355" cy="6539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 </a:t>
          </a:r>
        </a:p>
        <a:p xmlns:a="http://schemas.openxmlformats.org/drawingml/2006/main">
          <a:endParaRPr lang="en-US" sz="900"/>
        </a:p>
      </cdr:txBody>
    </cdr:sp>
  </cdr:relSizeAnchor>
</c:userShapes>
</file>

<file path=word/drawings/drawing3.xml><?xml version="1.0" encoding="utf-8"?>
<c:userShapes xmlns:c="http://schemas.openxmlformats.org/drawingml/2006/chart">
  <cdr:relSizeAnchor xmlns:cdr="http://schemas.openxmlformats.org/drawingml/2006/chartDrawing">
    <cdr:from>
      <cdr:x>0.56742</cdr:x>
      <cdr:y>0.43772</cdr:y>
    </cdr:from>
    <cdr:to>
      <cdr:x>0.89954</cdr:x>
      <cdr:y>0.62989</cdr:y>
    </cdr:to>
    <cdr:sp macro="" textlink="">
      <cdr:nvSpPr>
        <cdr:cNvPr id="7" name="Text Box 6"/>
        <cdr:cNvSpPr txBox="1"/>
      </cdr:nvSpPr>
      <cdr:spPr>
        <a:xfrm xmlns:a="http://schemas.openxmlformats.org/drawingml/2006/main">
          <a:off x="1621405" y="1171575"/>
          <a:ext cx="949025" cy="514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900"/>
        </a:p>
      </cdr:txBody>
    </cdr:sp>
  </cdr:relSizeAnchor>
  <cdr:relSizeAnchor xmlns:cdr="http://schemas.openxmlformats.org/drawingml/2006/chartDrawing">
    <cdr:from>
      <cdr:x>0.31387</cdr:x>
      <cdr:y>0.27402</cdr:y>
    </cdr:from>
    <cdr:to>
      <cdr:x>0.61314</cdr:x>
      <cdr:y>0.49822</cdr:y>
    </cdr:to>
    <cdr:sp macro="" textlink="">
      <cdr:nvSpPr>
        <cdr:cNvPr id="11" name="Text Box 10"/>
        <cdr:cNvSpPr txBox="1"/>
      </cdr:nvSpPr>
      <cdr:spPr>
        <a:xfrm xmlns:a="http://schemas.openxmlformats.org/drawingml/2006/main">
          <a:off x="819150" y="733424"/>
          <a:ext cx="781050" cy="600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9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CD7D5-FD70-42D4-B555-68283C59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7940</Words>
  <Characters>45263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DOITT</Company>
  <LinksUpToDate>false</LinksUpToDate>
  <CharactersWithSpaces>53097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LeydenD</dc:creator>
  <cp:lastModifiedBy>GoldJ</cp:lastModifiedBy>
  <cp:revision>2</cp:revision>
  <cp:lastPrinted>2017-05-02T00:36:00Z</cp:lastPrinted>
  <dcterms:created xsi:type="dcterms:W3CDTF">2017-05-02T00:41:00Z</dcterms:created>
  <dcterms:modified xsi:type="dcterms:W3CDTF">2017-05-02T00:41:00Z</dcterms:modified>
</cp:coreProperties>
</file>